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684B64">
      <w:pPr>
        <w:pStyle w:val="9"/>
        <w:keepNext w:val="0"/>
        <w:keepLines w:val="0"/>
        <w:pageBreakBefore w:val="0"/>
        <w:widowControl/>
        <w:kinsoku/>
        <w:wordWrap/>
        <w:overflowPunct/>
        <w:topLinePunct w:val="0"/>
        <w:autoSpaceDE/>
        <w:autoSpaceDN/>
        <w:bidi w:val="0"/>
        <w:adjustRightInd w:val="0"/>
        <w:snapToGrid w:val="0"/>
        <w:spacing w:after="0" w:afterLines="100" w:line="240" w:lineRule="auto"/>
        <w:textAlignment w:val="auto"/>
        <w:rPr>
          <w:b w:val="0"/>
          <w:bCs/>
          <w:sz w:val="36"/>
          <w:szCs w:val="36"/>
        </w:rPr>
      </w:pPr>
      <w:r>
        <w:rPr>
          <w:b w:val="0"/>
          <w:bCs/>
          <w:sz w:val="36"/>
          <w:szCs w:val="36"/>
        </w:rPr>
        <w:t>东北财经大学教育教学督导工作实施方案</w:t>
      </w:r>
      <w:bookmarkStart w:id="0" w:name="_GoBack"/>
      <w:bookmarkEnd w:id="0"/>
    </w:p>
    <w:p w14:paraId="61DF25A4">
      <w:pPr>
        <w:keepNext w:val="0"/>
        <w:keepLines w:val="0"/>
        <w:pageBreakBefore w:val="0"/>
        <w:widowControl/>
        <w:kinsoku/>
        <w:wordWrap/>
        <w:overflowPunct/>
        <w:topLinePunct w:val="0"/>
        <w:autoSpaceDE/>
        <w:autoSpaceDN/>
        <w:bidi w:val="0"/>
        <w:adjustRightInd/>
        <w:snapToGrid/>
        <w:spacing w:line="360" w:lineRule="auto"/>
        <w:jc w:val="both"/>
        <w:textAlignment w:val="auto"/>
      </w:pPr>
      <w:r>
        <w:t>为全面贯彻党的教育方针，落实立德树人根本任务，推进教育教学督导工作科学化、规范化、常态化和制度化，根据《东北财经大学教育教学督导工作管理办法》，结合学校实际，制定本实施方案。</w:t>
      </w:r>
    </w:p>
    <w:p w14:paraId="48B3F2B9">
      <w:pPr>
        <w:pStyle w:val="2"/>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一、指导思想</w:t>
      </w:r>
    </w:p>
    <w:p w14:paraId="3A737D7F">
      <w:pPr>
        <w:pageBreakBefore w:val="0"/>
        <w:widowControl/>
        <w:kinsoku/>
        <w:wordWrap/>
        <w:overflowPunct/>
        <w:topLinePunct w:val="0"/>
        <w:autoSpaceDE/>
        <w:autoSpaceDN/>
        <w:bidi w:val="0"/>
        <w:adjustRightInd/>
        <w:snapToGrid/>
        <w:spacing w:line="360" w:lineRule="auto"/>
        <w:jc w:val="both"/>
        <w:textAlignment w:val="auto"/>
      </w:pPr>
      <w:r>
        <w:t>坚持以习近平新时代中国特色社会主义思想为指导，将培育和践行社会主义核心价值观融入教育教学全过程。以提高人才培养质量和教学水平、加强对教学质量的动态监督、构建科学的教学质量监控体系为目标，实事求是、客观公正开展督导工作，促进优良教风、学风和育人环境的形成，推进学校教学工作内涵式发展。</w:t>
      </w:r>
    </w:p>
    <w:p w14:paraId="7BA24640">
      <w:pPr>
        <w:pStyle w:val="2"/>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二、工作目标</w:t>
      </w:r>
    </w:p>
    <w:p w14:paraId="1B6E12A4">
      <w:pPr>
        <w:pageBreakBefore w:val="0"/>
        <w:widowControl/>
        <w:kinsoku/>
        <w:wordWrap/>
        <w:overflowPunct/>
        <w:topLinePunct w:val="0"/>
        <w:autoSpaceDE/>
        <w:autoSpaceDN/>
        <w:bidi w:val="0"/>
        <w:adjustRightInd/>
        <w:snapToGrid/>
        <w:spacing w:line="360" w:lineRule="auto"/>
        <w:jc w:val="both"/>
        <w:textAlignment w:val="auto"/>
      </w:pPr>
      <w:r>
        <w:t>通过本实施方案的落实，构建校院两级联动、职责清晰、运行高效的督导工作机制，形成</w:t>
      </w:r>
      <w:r>
        <w:rPr>
          <w:rFonts w:hint="eastAsia"/>
        </w:rPr>
        <w:t>“</w:t>
      </w:r>
      <w:r>
        <w:t>学校主导、学院主体、两级协同、闭环管理</w:t>
      </w:r>
      <w:r>
        <w:rPr>
          <w:rFonts w:hint="eastAsia"/>
        </w:rPr>
        <w:t>”</w:t>
      </w:r>
      <w:r>
        <w:t>的工作格局，</w:t>
      </w:r>
      <w:r>
        <w:rPr>
          <w:rFonts w:hint="eastAsia"/>
          <w:lang w:val="en-US" w:eastAsia="zh-CN"/>
        </w:rPr>
        <w:t>达成</w:t>
      </w:r>
      <w:r>
        <w:t>以下目标：实现督导全覆盖</w:t>
      </w:r>
      <w:r>
        <w:rPr>
          <w:rFonts w:hint="eastAsia"/>
        </w:rPr>
        <w:t>，</w:t>
      </w:r>
      <w:r>
        <w:t>建立从</w:t>
      </w:r>
      <w:r>
        <w:rPr>
          <w:rFonts w:hint="eastAsia"/>
        </w:rPr>
        <w:t>“</w:t>
      </w:r>
      <w:r>
        <w:t>人员全覆盖</w:t>
      </w:r>
      <w:r>
        <w:rPr>
          <w:rFonts w:hint="eastAsia"/>
        </w:rPr>
        <w:t>”</w:t>
      </w:r>
      <w:r>
        <w:t>到</w:t>
      </w:r>
      <w:r>
        <w:rPr>
          <w:rFonts w:hint="eastAsia"/>
        </w:rPr>
        <w:t>“</w:t>
      </w:r>
      <w:r>
        <w:t>课程全覆盖</w:t>
      </w:r>
      <w:r>
        <w:rPr>
          <w:rFonts w:hint="eastAsia"/>
        </w:rPr>
        <w:t>”</w:t>
      </w:r>
      <w:r>
        <w:t>的渐进式督导体系，确保教学监督无死角</w:t>
      </w:r>
      <w:r>
        <w:rPr>
          <w:rFonts w:hint="eastAsia"/>
        </w:rPr>
        <w:t>；</w:t>
      </w:r>
      <w:r>
        <w:t>强化导建结合</w:t>
      </w:r>
      <w:r>
        <w:rPr>
          <w:rFonts w:hint="eastAsia"/>
          <w:lang w:eastAsia="zh-CN"/>
        </w:rPr>
        <w:t>，</w:t>
      </w:r>
      <w:r>
        <w:t>坚持</w:t>
      </w:r>
      <w:r>
        <w:rPr>
          <w:rFonts w:hint="eastAsia"/>
        </w:rPr>
        <w:t>“</w:t>
      </w:r>
      <w:r>
        <w:t>以导促建、以督促改</w:t>
      </w:r>
      <w:r>
        <w:rPr>
          <w:rFonts w:hint="eastAsia"/>
        </w:rPr>
        <w:t>”</w:t>
      </w:r>
      <w:r>
        <w:t>，注重反馈与指导，助力教师专业成长</w:t>
      </w:r>
      <w:r>
        <w:rPr>
          <w:rFonts w:hint="eastAsia"/>
        </w:rPr>
        <w:t>；</w:t>
      </w:r>
      <w:r>
        <w:t>完善闭环管理</w:t>
      </w:r>
      <w:r>
        <w:rPr>
          <w:rFonts w:hint="eastAsia"/>
        </w:rPr>
        <w:t>，</w:t>
      </w:r>
      <w:r>
        <w:t>建立</w:t>
      </w:r>
      <w:r>
        <w:rPr>
          <w:rFonts w:hint="eastAsia"/>
        </w:rPr>
        <w:t>“</w:t>
      </w:r>
      <w:r>
        <w:t>听课</w:t>
      </w:r>
      <w:r>
        <w:rPr>
          <w:rFonts w:hint="eastAsia"/>
          <w:lang w:eastAsia="zh-CN"/>
        </w:rPr>
        <w:t>－</w:t>
      </w:r>
      <w:r>
        <w:t>反馈</w:t>
      </w:r>
      <w:r>
        <w:rPr>
          <w:rFonts w:hint="eastAsia"/>
          <w:lang w:eastAsia="zh-CN"/>
        </w:rPr>
        <w:t>－</w:t>
      </w:r>
      <w:r>
        <w:t>改进</w:t>
      </w:r>
      <w:r>
        <w:rPr>
          <w:rFonts w:hint="eastAsia"/>
          <w:lang w:eastAsia="zh-CN"/>
        </w:rPr>
        <w:t>－</w:t>
      </w:r>
      <w:r>
        <w:t>复查</w:t>
      </w:r>
      <w:r>
        <w:rPr>
          <w:rFonts w:hint="eastAsia"/>
        </w:rPr>
        <w:t>”</w:t>
      </w:r>
      <w:r>
        <w:t>的完整链条，确保问题整改到位、质量持续提升</w:t>
      </w:r>
      <w:r>
        <w:rPr>
          <w:rFonts w:hint="eastAsia"/>
        </w:rPr>
        <w:t>；</w:t>
      </w:r>
      <w:r>
        <w:t>提升督导效能</w:t>
      </w:r>
      <w:r>
        <w:rPr>
          <w:rFonts w:hint="eastAsia"/>
        </w:rPr>
        <w:t>，</w:t>
      </w:r>
      <w:r>
        <w:t>推动督导工作科学化、规范化、常态化和制度化，为培养高素质创新型人才提供坚实保障。</w:t>
      </w:r>
    </w:p>
    <w:p w14:paraId="68CDEE20">
      <w:pPr>
        <w:pStyle w:val="2"/>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三、组织架构</w:t>
      </w:r>
    </w:p>
    <w:p w14:paraId="3F352594">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b w:val="0"/>
          <w:bCs/>
        </w:rPr>
        <w:t>（一）</w:t>
      </w:r>
      <w:r>
        <w:rPr>
          <w:rFonts w:hint="eastAsia"/>
          <w:b w:val="0"/>
          <w:bCs/>
        </w:rPr>
        <w:t>校级督导组织机构</w:t>
      </w:r>
    </w:p>
    <w:p w14:paraId="23B8CF8D">
      <w:pPr>
        <w:pageBreakBefore w:val="0"/>
        <w:widowControl/>
        <w:kinsoku/>
        <w:wordWrap/>
        <w:overflowPunct/>
        <w:topLinePunct w:val="0"/>
        <w:autoSpaceDE/>
        <w:autoSpaceDN/>
        <w:bidi w:val="0"/>
        <w:adjustRightInd/>
        <w:snapToGrid/>
        <w:spacing w:line="360" w:lineRule="auto"/>
        <w:jc w:val="both"/>
        <w:textAlignment w:val="auto"/>
        <w:rPr>
          <w:rFonts w:hint="default" w:eastAsia="仿宋"/>
          <w:lang w:val="en-US" w:eastAsia="zh-CN"/>
        </w:rPr>
      </w:pPr>
      <w:r>
        <w:rPr>
          <w:rFonts w:hint="eastAsia"/>
        </w:rPr>
        <w:t>校督导委员会设主任委员1名，由分管教学校领导兼任，副主任委员由教学质量监控与评估办公室</w:t>
      </w:r>
      <w:r>
        <w:rPr>
          <w:rFonts w:hint="eastAsia"/>
          <w:lang w:val="en-US" w:eastAsia="zh-CN"/>
        </w:rPr>
        <w:t>领导</w:t>
      </w:r>
      <w:r>
        <w:rPr>
          <w:rFonts w:hint="eastAsia"/>
        </w:rPr>
        <w:t>兼任；委员会日常办事机构（办公室）挂靠教学质量监控与评估办公室，负责具体工作的协调与落实，秘书由教学质量监控与评估办公室综合办公室主任兼任；委员会下设</w:t>
      </w:r>
      <w:r>
        <w:rPr>
          <w:rFonts w:hint="eastAsia"/>
          <w:lang w:val="en-US" w:eastAsia="zh-CN"/>
        </w:rPr>
        <w:t>若干</w:t>
      </w:r>
      <w:r>
        <w:rPr>
          <w:rFonts w:hint="eastAsia"/>
        </w:rPr>
        <w:t>校级督导组，各组成员由获得卓越教学成就奖、教学突出型和特殊评审晋升（教学相关型）教授和副教授构成。</w:t>
      </w:r>
      <w:r>
        <w:rPr>
          <w:rFonts w:hint="eastAsia" w:ascii="仿宋" w:hAnsi="仿宋" w:eastAsia="仿宋" w:cs="仿宋"/>
          <w:color w:val="333333"/>
          <w:kern w:val="0"/>
          <w:sz w:val="32"/>
          <w:szCs w:val="32"/>
          <w:lang w:bidi="ar"/>
        </w:rPr>
        <w:t>校级督导员实行选聘制，每届聘期三年，可连聘连任。</w:t>
      </w:r>
    </w:p>
    <w:p w14:paraId="1A9D63F5">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b w:val="0"/>
          <w:bCs/>
        </w:rPr>
        <w:t>（二）</w:t>
      </w:r>
      <w:r>
        <w:rPr>
          <w:rFonts w:hint="eastAsia"/>
          <w:b w:val="0"/>
          <w:bCs/>
        </w:rPr>
        <w:t>院级督导组织机构</w:t>
      </w:r>
    </w:p>
    <w:p w14:paraId="231080E0">
      <w:pPr>
        <w:pageBreakBefore w:val="0"/>
        <w:widowControl/>
        <w:kinsoku/>
        <w:wordWrap/>
        <w:overflowPunct/>
        <w:topLinePunct w:val="0"/>
        <w:autoSpaceDE/>
        <w:autoSpaceDN/>
        <w:bidi w:val="0"/>
        <w:adjustRightInd/>
        <w:snapToGrid/>
        <w:spacing w:line="360" w:lineRule="auto"/>
        <w:jc w:val="both"/>
        <w:textAlignment w:val="auto"/>
      </w:pPr>
      <w:r>
        <w:rPr>
          <w:rFonts w:hint="eastAsia"/>
        </w:rPr>
        <w:t>各全日制本科及研究生培养单位设置院级督导组，该督导组是对所在单位的本科及研究生教学工作进行监督、检查、评估与指导的专家组织。组织机构：院级督导设组长1名，由所在</w:t>
      </w:r>
      <w:r>
        <w:rPr>
          <w:rFonts w:hint="eastAsia"/>
          <w:lang w:val="en-US" w:eastAsia="zh-CN"/>
        </w:rPr>
        <w:t>培养</w:t>
      </w:r>
      <w:r>
        <w:rPr>
          <w:rFonts w:hint="eastAsia"/>
        </w:rPr>
        <w:t>单位的负责人兼任，</w:t>
      </w:r>
      <w:r>
        <w:rPr>
          <w:rFonts w:hint="eastAsia"/>
          <w:lang w:val="en-US" w:eastAsia="zh-CN"/>
        </w:rPr>
        <w:t>成员包括分管本科生教学的</w:t>
      </w:r>
      <w:r>
        <w:rPr>
          <w:rFonts w:hint="eastAsia"/>
        </w:rPr>
        <w:t>副</w:t>
      </w:r>
      <w:r>
        <w:rPr>
          <w:rFonts w:hint="eastAsia"/>
          <w:lang w:val="en-US" w:eastAsia="zh-CN"/>
        </w:rPr>
        <w:t>院</w:t>
      </w:r>
      <w:r>
        <w:rPr>
          <w:rFonts w:hint="eastAsia"/>
        </w:rPr>
        <w:t>长、</w:t>
      </w:r>
      <w:r>
        <w:rPr>
          <w:rFonts w:hint="eastAsia"/>
          <w:lang w:val="en-US" w:eastAsia="zh-CN"/>
        </w:rPr>
        <w:t>分管研究生教学的</w:t>
      </w:r>
      <w:r>
        <w:rPr>
          <w:rFonts w:hint="eastAsia"/>
        </w:rPr>
        <w:t>副</w:t>
      </w:r>
      <w:r>
        <w:rPr>
          <w:rFonts w:hint="eastAsia"/>
          <w:lang w:val="en-US" w:eastAsia="zh-CN"/>
        </w:rPr>
        <w:t>院</w:t>
      </w:r>
      <w:r>
        <w:rPr>
          <w:rFonts w:hint="eastAsia"/>
        </w:rPr>
        <w:t>长</w:t>
      </w:r>
      <w:r>
        <w:rPr>
          <w:rFonts w:hint="eastAsia"/>
          <w:lang w:val="en-US" w:eastAsia="zh-CN"/>
        </w:rPr>
        <w:t>等，</w:t>
      </w:r>
      <w:r>
        <w:rPr>
          <w:rFonts w:hint="eastAsia"/>
        </w:rPr>
        <w:t>其队伍规模、成员构成等由各教学科研单位在综合考虑学生规模、教师人数、开课数量等因素的基础上配置，院级督导组一般不少于5人。院级督导组实行聘任制，聘期参照校级督导员执行。</w:t>
      </w:r>
    </w:p>
    <w:p w14:paraId="1A004F02">
      <w:pPr>
        <w:pStyle w:val="2"/>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四、主要职责和工作量要求</w:t>
      </w:r>
    </w:p>
    <w:p w14:paraId="42A419D5">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（一）校督导委员会工作职责</w:t>
      </w:r>
    </w:p>
    <w:p w14:paraId="2C7FDD5E">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校督导委员会作为学校教学</w:t>
      </w:r>
      <w:r>
        <w:rPr>
          <w:rFonts w:hint="eastAsia"/>
        </w:rPr>
        <w:t>质量</w:t>
      </w:r>
      <w:r>
        <w:rPr>
          <w:rFonts w:hint="eastAsia"/>
          <w:color w:val="auto"/>
        </w:rPr>
        <w:t>的监督与指导机构，履行以下职责：</w:t>
      </w:r>
    </w:p>
    <w:p w14:paraId="405C2296">
      <w:pPr>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b/>
          <w:bCs/>
          <w:color w:val="auto"/>
        </w:rPr>
      </w:pPr>
      <w:r>
        <w:rPr>
          <w:rFonts w:hint="eastAsia" w:ascii="仿宋" w:hAnsi="仿宋" w:eastAsia="仿宋" w:cs="仿宋"/>
          <w:b/>
          <w:bCs/>
          <w:color w:val="auto"/>
          <w:lang w:eastAsia="zh-CN"/>
        </w:rPr>
        <w:t>1.</w:t>
      </w:r>
      <w:r>
        <w:rPr>
          <w:rFonts w:hint="eastAsia" w:ascii="仿宋" w:hAnsi="仿宋" w:eastAsia="仿宋" w:cs="仿宋"/>
          <w:b/>
          <w:bCs/>
          <w:color w:val="auto"/>
        </w:rPr>
        <w:t>监督与检查</w:t>
      </w:r>
    </w:p>
    <w:p w14:paraId="29A79A41">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督教：深入教学一线，通过随机与针对性听课，对教师的教学规范、教学内容、教学方法及教学效果进行监督与检查。</w:t>
      </w:r>
    </w:p>
    <w:p w14:paraId="1DD56736">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督学：巡查课堂与考场，对学生的到课率、课堂纪律、学习状态及考风考纪进行检查，促进优良学风形成。</w:t>
      </w:r>
    </w:p>
    <w:p w14:paraId="1EE553EB">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督管：对教学楼、实验室等教学场所的保障条件进行巡查，并对试卷、毕业论文等教学档案的规范性与质量进行抽查。</w:t>
      </w:r>
    </w:p>
    <w:p w14:paraId="5ED114EB">
      <w:pPr>
        <w:pageBreakBefore w:val="0"/>
        <w:widowControl/>
        <w:kinsoku/>
        <w:wordWrap/>
        <w:overflowPunct/>
        <w:topLinePunct w:val="0"/>
        <w:autoSpaceDE/>
        <w:autoSpaceDN/>
        <w:bidi w:val="0"/>
        <w:adjustRightInd/>
        <w:snapToGrid/>
        <w:spacing w:line="360" w:lineRule="auto"/>
        <w:jc w:val="both"/>
        <w:textAlignment w:val="auto"/>
        <w:rPr>
          <w:rFonts w:hint="eastAsia" w:ascii="仿宋" w:hAnsi="仿宋" w:eastAsia="仿宋" w:cs="仿宋"/>
          <w:b/>
          <w:bCs/>
          <w:color w:val="auto"/>
        </w:rPr>
      </w:pPr>
      <w:r>
        <w:rPr>
          <w:rFonts w:hint="eastAsia" w:ascii="仿宋" w:hAnsi="仿宋" w:eastAsia="仿宋" w:cs="仿宋"/>
          <w:b/>
          <w:bCs/>
          <w:color w:val="auto"/>
          <w:lang w:eastAsia="zh-CN"/>
        </w:rPr>
        <w:t>2.</w:t>
      </w:r>
      <w:r>
        <w:rPr>
          <w:rFonts w:hint="eastAsia" w:ascii="仿宋" w:hAnsi="仿宋" w:eastAsia="仿宋" w:cs="仿宋"/>
          <w:b/>
          <w:bCs/>
          <w:color w:val="auto"/>
        </w:rPr>
        <w:t>评估与指导</w:t>
      </w:r>
    </w:p>
    <w:p w14:paraId="161C5E34">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参与学校的专业评估、课程评估、教学竞赛等各类教学评价活动。</w:t>
      </w:r>
    </w:p>
    <w:p w14:paraId="5956BAC5">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在听课后与教师进行深入交流与反馈，针对教学中的亮点与不足提供具体、中肯的改进建议，实现“以导促建”。</w:t>
      </w:r>
    </w:p>
    <w:p w14:paraId="6F47F526">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对院级督导组的工作进行</w:t>
      </w:r>
      <w:r>
        <w:rPr>
          <w:rFonts w:hint="eastAsia"/>
        </w:rPr>
        <w:t>业务</w:t>
      </w:r>
      <w:r>
        <w:rPr>
          <w:rFonts w:hint="eastAsia"/>
          <w:color w:val="auto"/>
        </w:rPr>
        <w:t>指导与质量把关，提升全校督导工作整体水平。</w:t>
      </w:r>
    </w:p>
    <w:p w14:paraId="3694ADFD">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3.</w:t>
      </w:r>
      <w:r>
        <w:rPr>
          <w:rFonts w:hint="eastAsia"/>
          <w:b/>
          <w:bCs/>
          <w:color w:val="auto"/>
        </w:rPr>
        <w:t>调研与咨询</w:t>
      </w:r>
    </w:p>
    <w:p w14:paraId="00E38E11">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围绕学校教学改革中的</w:t>
      </w:r>
      <w:r>
        <w:rPr>
          <w:rFonts w:hint="eastAsia"/>
        </w:rPr>
        <w:t>重点</w:t>
      </w:r>
      <w:r>
        <w:rPr>
          <w:rFonts w:hint="eastAsia"/>
          <w:color w:val="auto"/>
        </w:rPr>
        <w:t>、难点问题开展专项调研。</w:t>
      </w:r>
    </w:p>
    <w:p w14:paraId="34CDDCC5">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通过参加教学工作会议、组织专题研讨等方式，汇集专家智慧，为学校教学政策的制定与完善提供高质量的决策咨询和建议。</w:t>
      </w:r>
    </w:p>
    <w:p w14:paraId="589B4D0E">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4.</w:t>
      </w:r>
      <w:r>
        <w:rPr>
          <w:rFonts w:hint="eastAsia"/>
          <w:b/>
          <w:bCs/>
          <w:color w:val="auto"/>
        </w:rPr>
        <w:t>反馈与闭环</w:t>
      </w:r>
    </w:p>
    <w:p w14:paraId="18EFA762">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建立有效的信息反馈机制，及时将督导中发现的问题、分析与建议向教学质量监控与评估办公室、相关职能部门及教学单位进行反馈。推动建立“听课</w:t>
      </w:r>
      <w:r>
        <w:rPr>
          <w:rFonts w:hint="eastAsia"/>
          <w:color w:val="auto"/>
          <w:lang w:eastAsia="zh-CN"/>
        </w:rPr>
        <w:t>－</w:t>
      </w:r>
      <w:r>
        <w:rPr>
          <w:rFonts w:hint="eastAsia"/>
          <w:color w:val="auto"/>
        </w:rPr>
        <w:t>反馈</w:t>
      </w:r>
      <w:r>
        <w:rPr>
          <w:rFonts w:hint="eastAsia"/>
          <w:color w:val="auto"/>
          <w:lang w:eastAsia="zh-CN"/>
        </w:rPr>
        <w:t>－</w:t>
      </w:r>
      <w:r>
        <w:rPr>
          <w:rFonts w:hint="eastAsia"/>
          <w:color w:val="auto"/>
        </w:rPr>
        <w:t>改进</w:t>
      </w:r>
      <w:r>
        <w:rPr>
          <w:rFonts w:hint="eastAsia"/>
          <w:color w:val="auto"/>
          <w:lang w:eastAsia="zh-CN"/>
        </w:rPr>
        <w:t>－</w:t>
      </w:r>
      <w:r>
        <w:rPr>
          <w:rFonts w:hint="eastAsia"/>
          <w:color w:val="auto"/>
        </w:rPr>
        <w:t>复查”的闭环管理机制，跟踪并核查整改措施的落实情况，确保督导工作取得实效。</w:t>
      </w:r>
    </w:p>
    <w:p w14:paraId="54CCDF3C">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val="0"/>
        </w:rPr>
      </w:pPr>
      <w:r>
        <w:rPr>
          <w:rFonts w:hint="eastAsia"/>
          <w:b w:val="0"/>
          <w:bCs w:val="0"/>
        </w:rPr>
        <w:t>（二）院级督导组工作职责</w:t>
      </w:r>
    </w:p>
    <w:p w14:paraId="6DCFAC4D">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院级教学督导组是本单位教学质量监控的主体，具体职责如下：</w:t>
      </w:r>
      <w:r>
        <w:rPr>
          <w:rFonts w:hint="eastAsia"/>
          <w:color w:val="auto"/>
        </w:rPr>
        <w:br w:type="textWrapping"/>
      </w:r>
      <w:r>
        <w:rPr>
          <w:rFonts w:hint="eastAsia"/>
          <w:b/>
          <w:bCs/>
          <w:color w:val="auto"/>
        </w:rPr>
        <w:t xml:space="preserve">        </w:t>
      </w:r>
      <w:r>
        <w:rPr>
          <w:rFonts w:hint="eastAsia"/>
          <w:b/>
          <w:bCs/>
          <w:color w:val="auto"/>
          <w:lang w:val="en-US" w:eastAsia="zh-CN"/>
        </w:rPr>
        <w:t>1.</w:t>
      </w:r>
      <w:r>
        <w:rPr>
          <w:rFonts w:hint="eastAsia"/>
          <w:b/>
          <w:bCs/>
          <w:color w:val="auto"/>
        </w:rPr>
        <w:t>参照执行</w:t>
      </w:r>
      <w:r>
        <w:rPr>
          <w:rFonts w:hint="eastAsia"/>
          <w:b/>
          <w:bCs/>
          <w:color w:val="auto"/>
        </w:rPr>
        <w:br w:type="textWrapping"/>
      </w:r>
      <w:r>
        <w:rPr>
          <w:rFonts w:hint="eastAsia"/>
          <w:color w:val="auto"/>
        </w:rPr>
        <w:t xml:space="preserve">       参照校教学督导委员会的工作职责，对本单位课堂教学、实践教学、学风考风、教学文档等进行全面的监督与检查。</w:t>
      </w:r>
    </w:p>
    <w:p w14:paraId="5BE12AAF">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2.制订计划</w:t>
      </w:r>
    </w:p>
    <w:p w14:paraId="1FBEB1C0">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结合本单位的专业特点、学科特色及实际情况，制定具体的学期教学督导工作计划，并组织实施。</w:t>
      </w:r>
    </w:p>
    <w:p w14:paraId="2AA864F1">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3.</w:t>
      </w:r>
      <w:r>
        <w:rPr>
          <w:rFonts w:hint="eastAsia"/>
          <w:b/>
          <w:bCs/>
          <w:color w:val="auto"/>
        </w:rPr>
        <w:t>分析反馈</w:t>
      </w:r>
    </w:p>
    <w:p w14:paraId="07131B42">
      <w:pPr>
        <w:pageBreakBefore w:val="0"/>
        <w:widowControl/>
        <w:kinsoku/>
        <w:wordWrap/>
        <w:overflowPunct/>
        <w:topLinePunct w:val="0"/>
        <w:autoSpaceDE/>
        <w:autoSpaceDN/>
        <w:bidi w:val="0"/>
        <w:adjustRightInd/>
        <w:snapToGrid/>
        <w:spacing w:line="360" w:lineRule="auto"/>
        <w:jc w:val="both"/>
        <w:textAlignment w:val="auto"/>
        <w:rPr>
          <w:color w:val="auto"/>
        </w:rPr>
      </w:pPr>
      <w:r>
        <w:rPr>
          <w:rFonts w:hint="eastAsia"/>
          <w:color w:val="auto"/>
        </w:rPr>
        <w:t xml:space="preserve">收集、统计、分析督导工作中的各类信息，定期在本单位内部进行反馈，并针对共性问题提出改进建议，协助本单位推进教学建设与改革。 </w:t>
      </w:r>
    </w:p>
    <w:p w14:paraId="0A2FF41C">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rFonts w:hint="eastAsia"/>
          <w:b w:val="0"/>
          <w:bCs/>
        </w:rPr>
      </w:pPr>
      <w:r>
        <w:rPr>
          <w:rFonts w:hint="eastAsia"/>
          <w:b w:val="0"/>
          <w:bCs/>
        </w:rPr>
        <w:t>（三）校院两级督导工作量要求</w:t>
      </w:r>
    </w:p>
    <w:p w14:paraId="5952FD2B">
      <w:pPr>
        <w:pageBreakBefore w:val="0"/>
        <w:widowControl/>
        <w:kinsoku/>
        <w:wordWrap/>
        <w:overflowPunct/>
        <w:topLinePunct w:val="0"/>
        <w:autoSpaceDE/>
        <w:autoSpaceDN/>
        <w:bidi w:val="0"/>
        <w:adjustRightInd/>
        <w:snapToGrid/>
        <w:spacing w:line="360" w:lineRule="auto"/>
        <w:ind w:firstLineChars="200"/>
        <w:jc w:val="both"/>
        <w:textAlignment w:val="auto"/>
        <w:rPr>
          <w:rFonts w:hint="eastAsia" w:ascii="仿宋" w:hAnsi="仿宋" w:cs="仿宋"/>
        </w:rPr>
      </w:pPr>
      <w:r>
        <w:rPr>
          <w:rFonts w:hint="eastAsia" w:ascii="仿宋" w:hAnsi="仿宋" w:cs="仿宋"/>
          <w:color w:val="0F1115"/>
          <w:shd w:val="clear" w:color="auto" w:fill="FFFFFF"/>
        </w:rPr>
        <w:t>为确保督导工作的覆盖面和实效，每学年校级教学督导员听课不少于8学时，院级教学督导员不少于2学时，每次听课时长不少于45分钟，听课评课贯穿学期始终。从事管理工作的校级督导员，可适当减免听课学时。</w:t>
      </w:r>
    </w:p>
    <w:p w14:paraId="5C111C20">
      <w:pPr>
        <w:pStyle w:val="2"/>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五、校院两级督导机制</w:t>
      </w:r>
    </w:p>
    <w:p w14:paraId="1770E0E7">
      <w:pPr>
        <w:pageBreakBefore w:val="0"/>
        <w:widowControl/>
        <w:kinsoku/>
        <w:wordWrap/>
        <w:overflowPunct/>
        <w:topLinePunct w:val="0"/>
        <w:autoSpaceDE/>
        <w:autoSpaceDN/>
        <w:bidi w:val="0"/>
        <w:adjustRightInd/>
        <w:snapToGrid/>
        <w:spacing w:line="360" w:lineRule="auto"/>
        <w:jc w:val="both"/>
        <w:textAlignment w:val="auto"/>
      </w:pPr>
      <w:r>
        <w:rPr>
          <w:rFonts w:hint="eastAsia"/>
        </w:rPr>
        <w:t>校级督导委员会对全日制本科与研究生教学全过程、多维度监督与指导。院级督导组则结合学科特点与实际需求，开展针对本培养单位的督导活动。构建“校级统筹指导、院级主体落实、两级协同联动”的工作机制，形成监督合力。</w:t>
      </w:r>
    </w:p>
    <w:p w14:paraId="6070B942">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（一）职责分层，各负其责</w:t>
      </w:r>
    </w:p>
    <w:p w14:paraId="5F8013C8">
      <w:pPr>
        <w:pageBreakBefore w:val="0"/>
        <w:widowControl/>
        <w:kinsoku/>
        <w:wordWrap/>
        <w:overflowPunct/>
        <w:topLinePunct w:val="0"/>
        <w:autoSpaceDE/>
        <w:autoSpaceDN/>
        <w:bidi w:val="0"/>
        <w:adjustRightInd/>
        <w:snapToGrid/>
        <w:spacing w:line="360" w:lineRule="auto"/>
        <w:jc w:val="both"/>
        <w:textAlignment w:val="auto"/>
      </w:pPr>
      <w:r>
        <w:rPr>
          <w:rFonts w:hint="eastAsia"/>
        </w:rPr>
        <w:t>校级督导侧重于宏观监控与重点指导。负责对全校教学秩序、教学质量保障体系运行情况及重大教学环节进行监督、检查与评估；对院级督导工作进行业务指导与质量抽查；针对全校共性问题和重点对象开展专项调研与深度指导。</w:t>
      </w:r>
    </w:p>
    <w:p w14:paraId="4F83D4B2">
      <w:pPr>
        <w:pageBreakBefore w:val="0"/>
        <w:widowControl/>
        <w:kinsoku/>
        <w:wordWrap/>
        <w:overflowPunct/>
        <w:topLinePunct w:val="0"/>
        <w:autoSpaceDE/>
        <w:autoSpaceDN/>
        <w:bidi w:val="0"/>
        <w:adjustRightInd/>
        <w:snapToGrid/>
        <w:spacing w:line="360" w:lineRule="auto"/>
        <w:jc w:val="both"/>
        <w:textAlignment w:val="auto"/>
      </w:pPr>
      <w:r>
        <w:rPr>
          <w:rFonts w:hint="eastAsia"/>
        </w:rPr>
        <w:t>院级督导侧重于常态覆盖与具体落实。在本单位范围内，承担督导工作的主体责任，负责组织实施覆盖全体任课教师和主要教学环节的常态化听课与检查，直接面向教师进行反馈与指导，并负责本单位教学信息的收集、分析与初步处理。</w:t>
      </w:r>
    </w:p>
    <w:p w14:paraId="0F837FDE">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pPr>
      <w:r>
        <w:rPr>
          <w:rFonts w:hint="eastAsia"/>
          <w:b w:val="0"/>
          <w:bCs/>
        </w:rPr>
        <w:t>（二）方式互补，点面结合</w:t>
      </w:r>
    </w:p>
    <w:p w14:paraId="42CD1AE6">
      <w:pPr>
        <w:pageBreakBefore w:val="0"/>
        <w:widowControl/>
        <w:kinsoku/>
        <w:wordWrap/>
        <w:overflowPunct/>
        <w:topLinePunct w:val="0"/>
        <w:autoSpaceDE/>
        <w:autoSpaceDN/>
        <w:bidi w:val="0"/>
        <w:adjustRightInd/>
        <w:snapToGrid/>
        <w:spacing w:line="360" w:lineRule="auto"/>
        <w:jc w:val="both"/>
        <w:textAlignment w:val="auto"/>
      </w:pPr>
      <w:r>
        <w:rPr>
          <w:rFonts w:hint="eastAsia"/>
        </w:rPr>
        <w:t>校级督导以随机抽查和针对性复查为主要方式，确保监督的客观性与权威性。</w:t>
      </w:r>
    </w:p>
    <w:p w14:paraId="518DCCAF">
      <w:pPr>
        <w:pageBreakBefore w:val="0"/>
        <w:widowControl/>
        <w:kinsoku/>
        <w:wordWrap/>
        <w:overflowPunct/>
        <w:topLinePunct w:val="0"/>
        <w:autoSpaceDE/>
        <w:autoSpaceDN/>
        <w:bidi w:val="0"/>
        <w:adjustRightInd/>
        <w:snapToGrid/>
        <w:spacing w:line="360" w:lineRule="auto"/>
        <w:jc w:val="both"/>
        <w:textAlignment w:val="auto"/>
      </w:pPr>
      <w:r>
        <w:rPr>
          <w:rFonts w:hint="eastAsia"/>
        </w:rPr>
        <w:t>院级督导以系统性检查和全过程跟踪为主要方式，确保监督的全面性与深入性。</w:t>
      </w:r>
    </w:p>
    <w:p w14:paraId="47F23B54">
      <w:pPr>
        <w:pageBreakBefore w:val="0"/>
        <w:widowControl/>
        <w:kinsoku/>
        <w:wordWrap/>
        <w:overflowPunct/>
        <w:topLinePunct w:val="0"/>
        <w:autoSpaceDE/>
        <w:autoSpaceDN/>
        <w:bidi w:val="0"/>
        <w:adjustRightInd/>
        <w:snapToGrid/>
        <w:spacing w:line="360" w:lineRule="auto"/>
        <w:jc w:val="both"/>
        <w:textAlignment w:val="auto"/>
      </w:pPr>
      <w:r>
        <w:rPr>
          <w:rFonts w:hint="eastAsia"/>
        </w:rPr>
        <w:t>两级督导通过联合听课、交叉检查等方式加强互动，鼓励有条件的学院开展跨学院督导，引入多元视角，打破学科壁垒。</w:t>
      </w:r>
    </w:p>
    <w:p w14:paraId="32DAD29E">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（三）监督指导，协同共进</w:t>
      </w:r>
    </w:p>
    <w:p w14:paraId="0FCECDB8">
      <w:pPr>
        <w:pageBreakBefore w:val="0"/>
        <w:widowControl/>
        <w:kinsoku/>
        <w:wordWrap/>
        <w:overflowPunct/>
        <w:topLinePunct w:val="0"/>
        <w:autoSpaceDE/>
        <w:autoSpaceDN/>
        <w:bidi w:val="0"/>
        <w:adjustRightInd/>
        <w:snapToGrid/>
        <w:spacing w:line="360" w:lineRule="auto"/>
        <w:jc w:val="both"/>
        <w:textAlignment w:val="auto"/>
        <w:rPr>
          <w:rFonts w:hint="eastAsia"/>
        </w:rPr>
      </w:pPr>
      <w:r>
        <w:rPr>
          <w:rFonts w:hint="eastAsia"/>
        </w:rPr>
        <w:t>校级督导通过定期会议、专题培训、材料复审等方式，对院级督导进行能力建设与工作质量把关，确保全校督导标准统一、行动协同。</w:t>
      </w:r>
    </w:p>
    <w:p w14:paraId="0BB6C8EA">
      <w:pPr>
        <w:pageBreakBefore w:val="0"/>
        <w:widowControl/>
        <w:kinsoku/>
        <w:wordWrap/>
        <w:overflowPunct/>
        <w:topLinePunct w:val="0"/>
        <w:autoSpaceDE/>
        <w:autoSpaceDN/>
        <w:bidi w:val="0"/>
        <w:adjustRightInd/>
        <w:snapToGrid/>
        <w:spacing w:line="360" w:lineRule="auto"/>
        <w:jc w:val="both"/>
        <w:textAlignment w:val="auto"/>
        <w:rPr>
          <w:rFonts w:hint="eastAsia"/>
        </w:rPr>
      </w:pPr>
      <w:r>
        <w:rPr>
          <w:rFonts w:hint="eastAsia"/>
        </w:rPr>
        <w:t>院级督导在校级督导的监督与业务指导下开展工作，其工作计划与重要结论需向校级督导报备。</w:t>
      </w:r>
    </w:p>
    <w:p w14:paraId="7E466DE7">
      <w:pPr>
        <w:pageBreakBefore w:val="0"/>
        <w:widowControl/>
        <w:kinsoku/>
        <w:wordWrap/>
        <w:overflowPunct/>
        <w:topLinePunct w:val="0"/>
        <w:autoSpaceDE/>
        <w:autoSpaceDN/>
        <w:bidi w:val="0"/>
        <w:adjustRightInd/>
        <w:snapToGrid/>
        <w:spacing w:line="360" w:lineRule="auto"/>
        <w:jc w:val="both"/>
        <w:textAlignment w:val="auto"/>
        <w:rPr>
          <w:rFonts w:hint="eastAsia"/>
        </w:rPr>
      </w:pPr>
      <w:r>
        <w:rPr>
          <w:rFonts w:hint="eastAsia"/>
        </w:rPr>
        <w:t>最终形成校级抓大局、把方向，院级抓具体、保落实，两级既相对独立又紧密配合的良性运行格局。</w:t>
      </w:r>
    </w:p>
    <w:p w14:paraId="3FEA4B01">
      <w:pPr>
        <w:pStyle w:val="2"/>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六、督导原则</w:t>
      </w:r>
    </w:p>
    <w:p w14:paraId="6EF34042">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（一）全覆盖原则</w:t>
      </w:r>
    </w:p>
    <w:p w14:paraId="04F5223C">
      <w:pPr>
        <w:pageBreakBefore w:val="0"/>
        <w:widowControl/>
        <w:kinsoku/>
        <w:wordWrap/>
        <w:overflowPunct/>
        <w:topLinePunct w:val="0"/>
        <w:autoSpaceDE/>
        <w:autoSpaceDN/>
        <w:bidi w:val="0"/>
        <w:adjustRightInd/>
        <w:snapToGrid/>
        <w:spacing w:line="360" w:lineRule="auto"/>
        <w:jc w:val="both"/>
        <w:textAlignment w:val="auto"/>
      </w:pPr>
      <w:r>
        <w:rPr>
          <w:rFonts w:hint="eastAsia"/>
        </w:rPr>
        <w:t>本原则旨在构建一个多维立体的督导工作体系，确保质量监控无死角、无盲区，具体体现在以下四个层面的全覆盖：</w:t>
      </w:r>
    </w:p>
    <w:p w14:paraId="4B2F0DD2">
      <w:pPr>
        <w:pageBreakBefore w:val="0"/>
        <w:widowControl/>
        <w:kinsoku/>
        <w:wordWrap/>
        <w:overflowPunct/>
        <w:topLinePunct w:val="0"/>
        <w:autoSpaceDE/>
        <w:autoSpaceDN/>
        <w:bidi w:val="0"/>
        <w:adjustRightInd/>
        <w:snapToGrid/>
        <w:spacing w:line="360" w:lineRule="auto"/>
        <w:jc w:val="both"/>
        <w:textAlignment w:val="auto"/>
        <w:rPr>
          <w:b/>
          <w:bCs/>
        </w:rPr>
      </w:pPr>
      <w:r>
        <w:rPr>
          <w:rFonts w:hint="eastAsia"/>
          <w:b/>
          <w:bCs/>
          <w:color w:val="auto"/>
          <w:lang w:eastAsia="zh-CN"/>
        </w:rPr>
        <w:t>1.</w:t>
      </w:r>
      <w:r>
        <w:rPr>
          <w:rFonts w:hint="eastAsia"/>
          <w:b/>
          <w:bCs/>
        </w:rPr>
        <w:t>听课对象全覆盖</w:t>
      </w:r>
    </w:p>
    <w:p w14:paraId="673209B4">
      <w:pPr>
        <w:pageBreakBefore w:val="0"/>
        <w:widowControl/>
        <w:kinsoku/>
        <w:wordWrap/>
        <w:overflowPunct/>
        <w:topLinePunct w:val="0"/>
        <w:autoSpaceDE/>
        <w:autoSpaceDN/>
        <w:bidi w:val="0"/>
        <w:adjustRightInd/>
        <w:snapToGrid/>
        <w:spacing w:line="360" w:lineRule="auto"/>
        <w:jc w:val="both"/>
        <w:textAlignment w:val="auto"/>
      </w:pPr>
      <w:r>
        <w:rPr>
          <w:rFonts w:hint="eastAsia"/>
        </w:rPr>
        <w:t>建立分阶段、渐进式的听课覆盖体系。短期目标是实现人员全覆盖，以院级督导为主体，确保在1个学年内对全院所有任课教师（含兼职、外聘）至少完成1次听课。中期目标是实现课程全覆盖，在2至3年内，将督查重点从“教师”延伸至“课程”，对全部开设课程（特别是专业核心课程、实践类课程）的教学内容与过程进行至少1轮督查，确保课程质量。</w:t>
      </w:r>
    </w:p>
    <w:p w14:paraId="05AB251F">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2.</w:t>
      </w:r>
      <w:r>
        <w:rPr>
          <w:rFonts w:hint="eastAsia"/>
          <w:b/>
          <w:bCs/>
          <w:color w:val="auto"/>
        </w:rPr>
        <w:t>教学环节全覆盖</w:t>
      </w:r>
    </w:p>
    <w:p w14:paraId="11BBCADD">
      <w:pPr>
        <w:pageBreakBefore w:val="0"/>
        <w:widowControl/>
        <w:kinsoku/>
        <w:wordWrap/>
        <w:overflowPunct/>
        <w:topLinePunct w:val="0"/>
        <w:autoSpaceDE/>
        <w:autoSpaceDN/>
        <w:bidi w:val="0"/>
        <w:adjustRightInd/>
        <w:snapToGrid/>
        <w:spacing w:line="360" w:lineRule="auto"/>
        <w:jc w:val="both"/>
        <w:textAlignment w:val="auto"/>
      </w:pPr>
      <w:r>
        <w:rPr>
          <w:rFonts w:hint="eastAsia"/>
        </w:rPr>
        <w:t>督导工作不局限于课堂教学，而应覆盖教学全过程。包括对实验实训、实习实践、考试考核、毕业论文（设计）答辩与归档等各个关键教学环节进行同步监督与检查，确保教学质量在每一个环节</w:t>
      </w:r>
      <w:r>
        <w:rPr>
          <w:rFonts w:hint="eastAsia"/>
          <w:lang w:val="en-US" w:eastAsia="zh-CN"/>
        </w:rPr>
        <w:t>得到落实</w:t>
      </w:r>
      <w:r>
        <w:rPr>
          <w:rFonts w:hint="eastAsia"/>
        </w:rPr>
        <w:t>。</w:t>
      </w:r>
    </w:p>
    <w:p w14:paraId="6C624764">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3.</w:t>
      </w:r>
      <w:r>
        <w:rPr>
          <w:rFonts w:hint="eastAsia"/>
          <w:b/>
          <w:bCs/>
          <w:color w:val="auto"/>
        </w:rPr>
        <w:t>评价维度全覆盖</w:t>
      </w:r>
    </w:p>
    <w:p w14:paraId="1159AFA2">
      <w:pPr>
        <w:pageBreakBefore w:val="0"/>
        <w:widowControl/>
        <w:kinsoku/>
        <w:wordWrap/>
        <w:overflowPunct/>
        <w:topLinePunct w:val="0"/>
        <w:autoSpaceDE/>
        <w:autoSpaceDN/>
        <w:bidi w:val="0"/>
        <w:adjustRightInd/>
        <w:snapToGrid/>
        <w:spacing w:line="360" w:lineRule="auto"/>
        <w:jc w:val="both"/>
        <w:textAlignment w:val="auto"/>
      </w:pPr>
      <w:r>
        <w:rPr>
          <w:rFonts w:hint="eastAsia"/>
        </w:rPr>
        <w:t>坚持“督教、督学、督管”三位一体。在督教基础上，同步实现对学生学习状态（督学）的课堂观察，以及对教学管理与服务保障（督管）的条件巡查。从而对影响教学质量的学生、教师、管理三大主体进行全方位评价。</w:t>
      </w:r>
    </w:p>
    <w:p w14:paraId="38B38755">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4.</w:t>
      </w:r>
      <w:r>
        <w:rPr>
          <w:rFonts w:hint="eastAsia"/>
          <w:b/>
          <w:bCs/>
          <w:color w:val="auto"/>
        </w:rPr>
        <w:t>整改跟踪全覆盖</w:t>
      </w:r>
    </w:p>
    <w:p w14:paraId="5A5BAB88">
      <w:pPr>
        <w:pageBreakBefore w:val="0"/>
        <w:widowControl/>
        <w:kinsoku/>
        <w:wordWrap/>
        <w:overflowPunct/>
        <w:topLinePunct w:val="0"/>
        <w:autoSpaceDE/>
        <w:autoSpaceDN/>
        <w:bidi w:val="0"/>
        <w:adjustRightInd/>
        <w:snapToGrid/>
        <w:spacing w:line="360" w:lineRule="auto"/>
        <w:jc w:val="both"/>
        <w:textAlignment w:val="auto"/>
      </w:pPr>
      <w:r>
        <w:rPr>
          <w:rFonts w:hint="eastAsia"/>
        </w:rPr>
        <w:t>建立“问题必整改”的闭环机制。对在各项督导工作中发现的问题，均需纳入整改跟踪清单，通过“反馈—改进—复查”流程，确保每一个发现的问题都有回应、有措施、有落实、有验证，实现督导效能的全覆盖。</w:t>
      </w:r>
    </w:p>
    <w:p w14:paraId="09D07094">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rFonts w:hint="eastAsia"/>
          <w:b w:val="0"/>
          <w:bCs/>
        </w:rPr>
      </w:pPr>
      <w:r>
        <w:rPr>
          <w:rFonts w:hint="eastAsia"/>
          <w:b w:val="0"/>
          <w:bCs/>
        </w:rPr>
        <w:t>（二）导建结合原则</w:t>
      </w:r>
    </w:p>
    <w:p w14:paraId="1C7B8E06">
      <w:pPr>
        <w:pageBreakBefore w:val="0"/>
        <w:widowControl/>
        <w:kinsoku/>
        <w:wordWrap/>
        <w:overflowPunct/>
        <w:topLinePunct w:val="0"/>
        <w:autoSpaceDE/>
        <w:autoSpaceDN/>
        <w:bidi w:val="0"/>
        <w:adjustRightInd/>
        <w:snapToGrid/>
        <w:spacing w:line="360" w:lineRule="auto"/>
        <w:jc w:val="both"/>
        <w:textAlignment w:val="auto"/>
      </w:pPr>
      <w:r>
        <w:rPr>
          <w:rFonts w:hint="eastAsia"/>
        </w:rPr>
        <w:t>本原则明确听课的最终目的不是评判，而是引导与建设，重在提升教学质量。</w:t>
      </w:r>
    </w:p>
    <w:p w14:paraId="4B042EC2">
      <w:pPr>
        <w:pageBreakBefore w:val="0"/>
        <w:widowControl/>
        <w:kinsoku/>
        <w:wordWrap/>
        <w:overflowPunct/>
        <w:topLinePunct w:val="0"/>
        <w:autoSpaceDE/>
        <w:autoSpaceDN/>
        <w:bidi w:val="0"/>
        <w:adjustRightInd/>
        <w:snapToGrid/>
        <w:spacing w:line="360" w:lineRule="auto"/>
        <w:jc w:val="both"/>
        <w:textAlignment w:val="auto"/>
      </w:pPr>
      <w:r>
        <w:rPr>
          <w:rFonts w:hint="eastAsia"/>
        </w:rPr>
        <w:t>导向性：督导活动应服务于学校人才培养目标和教学改革方向，重点关注课程思政、教学模式创新、</w:t>
      </w:r>
      <w:r>
        <w:rPr>
          <w:rFonts w:hint="eastAsia"/>
          <w:lang w:val="en-US" w:eastAsia="zh-CN"/>
        </w:rPr>
        <w:t>以</w:t>
      </w:r>
      <w:r>
        <w:rPr>
          <w:rFonts w:hint="eastAsia"/>
        </w:rPr>
        <w:t>学生</w:t>
      </w:r>
      <w:r>
        <w:rPr>
          <w:rFonts w:hint="eastAsia"/>
          <w:lang w:val="en-US" w:eastAsia="zh-CN"/>
        </w:rPr>
        <w:t>为</w:t>
      </w:r>
      <w:r>
        <w:rPr>
          <w:rFonts w:hint="eastAsia"/>
        </w:rPr>
        <w:t>中心理念落实等情况。</w:t>
      </w:r>
    </w:p>
    <w:p w14:paraId="7A829340">
      <w:pPr>
        <w:pageBreakBefore w:val="0"/>
        <w:widowControl/>
        <w:kinsoku/>
        <w:wordWrap/>
        <w:overflowPunct/>
        <w:topLinePunct w:val="0"/>
        <w:autoSpaceDE/>
        <w:autoSpaceDN/>
        <w:bidi w:val="0"/>
        <w:adjustRightInd/>
        <w:snapToGrid/>
        <w:spacing w:line="360" w:lineRule="auto"/>
        <w:jc w:val="both"/>
        <w:textAlignment w:val="auto"/>
      </w:pPr>
      <w:r>
        <w:rPr>
          <w:rFonts w:hint="eastAsia"/>
        </w:rPr>
        <w:t>建设性：校级督导在指导院级督导工作时，应强调课后反馈与指导环节。反馈意见需具体、中肯，不仅指出问题，更应提供改进建议与解决方案，帮助教师成长，实现“以督促改、以导促建”。</w:t>
      </w:r>
    </w:p>
    <w:p w14:paraId="7E580917">
      <w:pPr>
        <w:pStyle w:val="3"/>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（三）闭环管理原则</w:t>
      </w:r>
    </w:p>
    <w:p w14:paraId="1261A787">
      <w:pPr>
        <w:pageBreakBefore w:val="0"/>
        <w:widowControl/>
        <w:kinsoku/>
        <w:wordWrap/>
        <w:overflowPunct/>
        <w:topLinePunct w:val="0"/>
        <w:autoSpaceDE/>
        <w:autoSpaceDN/>
        <w:bidi w:val="0"/>
        <w:adjustRightInd/>
        <w:snapToGrid/>
        <w:spacing w:line="360" w:lineRule="auto"/>
        <w:jc w:val="both"/>
        <w:textAlignment w:val="auto"/>
      </w:pPr>
      <w:r>
        <w:rPr>
          <w:rFonts w:hint="eastAsia"/>
        </w:rPr>
        <w:t>本原则旨在构建一个持续改进的质量管理循环，确保督导工作不是止于“发现问题”，而是终于“问题解决与质量提升”，形成一套“有计划、有执行、有检查、有处理”的完整工作链条。其核心环节包括：</w:t>
      </w:r>
    </w:p>
    <w:p w14:paraId="4764965F">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1.</w:t>
      </w:r>
      <w:r>
        <w:rPr>
          <w:rFonts w:hint="eastAsia"/>
          <w:b/>
          <w:bCs/>
          <w:color w:val="auto"/>
        </w:rPr>
        <w:t>问题发现与精准反馈</w:t>
      </w:r>
    </w:p>
    <w:p w14:paraId="78E99A6B">
      <w:pPr>
        <w:pageBreakBefore w:val="0"/>
        <w:widowControl/>
        <w:kinsoku/>
        <w:wordWrap/>
        <w:overflowPunct/>
        <w:topLinePunct w:val="0"/>
        <w:autoSpaceDE/>
        <w:autoSpaceDN/>
        <w:bidi w:val="0"/>
        <w:adjustRightInd/>
        <w:snapToGrid/>
        <w:spacing w:line="360" w:lineRule="auto"/>
        <w:jc w:val="both"/>
        <w:textAlignment w:val="auto"/>
      </w:pPr>
      <w:r>
        <w:rPr>
          <w:rFonts w:hint="eastAsia"/>
        </w:rPr>
        <w:t>源头发现：校院两级督导通过听课、检查、调研等多种途径，全面、客观地收集教学一线信息，精准识别问题。</w:t>
      </w:r>
    </w:p>
    <w:p w14:paraId="34D5E7E5">
      <w:pPr>
        <w:pageBreakBefore w:val="0"/>
        <w:widowControl/>
        <w:kinsoku/>
        <w:wordWrap/>
        <w:overflowPunct/>
        <w:topLinePunct w:val="0"/>
        <w:autoSpaceDE/>
        <w:autoSpaceDN/>
        <w:bidi w:val="0"/>
        <w:adjustRightInd/>
        <w:snapToGrid/>
        <w:spacing w:line="360" w:lineRule="auto"/>
        <w:jc w:val="both"/>
        <w:textAlignment w:val="auto"/>
      </w:pPr>
      <w:r>
        <w:rPr>
          <w:rFonts w:hint="eastAsia"/>
        </w:rPr>
        <w:t>分级反馈：建立规范化反馈渠道。院级督导发现的问题，直接反馈至教师个人及系</w:t>
      </w:r>
      <w:r>
        <w:rPr>
          <w:rFonts w:hint="eastAsia"/>
          <w:lang w:val="en-US" w:eastAsia="zh-CN"/>
        </w:rPr>
        <w:t>或</w:t>
      </w:r>
      <w:r>
        <w:rPr>
          <w:rFonts w:hint="eastAsia"/>
        </w:rPr>
        <w:t>教研室；校级督导发现的系统性、全局性问题，或对院级督导工作的指导意见，统一汇总至教学质量监控与评估办公室，由其分析研判后，向相关教学单位或职能部门下达书面督导意见书。</w:t>
      </w:r>
    </w:p>
    <w:p w14:paraId="0D2DFAC3">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2.</w:t>
      </w:r>
      <w:r>
        <w:rPr>
          <w:rFonts w:hint="eastAsia"/>
          <w:b/>
          <w:bCs/>
          <w:color w:val="auto"/>
        </w:rPr>
        <w:t>整改落实与过程报告</w:t>
      </w:r>
    </w:p>
    <w:p w14:paraId="37F9B1A7">
      <w:pPr>
        <w:pageBreakBefore w:val="0"/>
        <w:widowControl/>
        <w:kinsoku/>
        <w:wordWrap/>
        <w:overflowPunct/>
        <w:topLinePunct w:val="0"/>
        <w:autoSpaceDE/>
        <w:autoSpaceDN/>
        <w:bidi w:val="0"/>
        <w:adjustRightInd/>
        <w:snapToGrid/>
        <w:spacing w:line="360" w:lineRule="auto"/>
        <w:jc w:val="both"/>
        <w:textAlignment w:val="auto"/>
      </w:pPr>
      <w:r>
        <w:rPr>
          <w:rFonts w:hint="eastAsia"/>
        </w:rPr>
        <w:t>责任到人：被督导单位（学院或部门）在收到反馈后，须树立“问题必整改”的责任意识，制定具体整改方案，明确责任人与完成时限。</w:t>
      </w:r>
    </w:p>
    <w:p w14:paraId="012130F5">
      <w:pPr>
        <w:pageBreakBefore w:val="0"/>
        <w:widowControl/>
        <w:kinsoku/>
        <w:wordWrap/>
        <w:overflowPunct/>
        <w:topLinePunct w:val="0"/>
        <w:autoSpaceDE/>
        <w:autoSpaceDN/>
        <w:bidi w:val="0"/>
        <w:adjustRightInd/>
        <w:snapToGrid/>
        <w:spacing w:line="360" w:lineRule="auto"/>
        <w:jc w:val="both"/>
        <w:textAlignment w:val="auto"/>
      </w:pPr>
      <w:r>
        <w:rPr>
          <w:rFonts w:hint="eastAsia"/>
        </w:rPr>
        <w:t>过程报告：被督导单位须按要求向教学质量监控与评估办公室报告整改进展与结果，确保整改过程留痕、可追溯。</w:t>
      </w:r>
    </w:p>
    <w:p w14:paraId="715FDFF2">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3.</w:t>
      </w:r>
      <w:r>
        <w:rPr>
          <w:rFonts w:hint="eastAsia"/>
          <w:b/>
          <w:bCs/>
          <w:color w:val="auto"/>
        </w:rPr>
        <w:t>复核复查与效果评估</w:t>
      </w:r>
    </w:p>
    <w:p w14:paraId="061F48EB">
      <w:pPr>
        <w:pageBreakBefore w:val="0"/>
        <w:widowControl/>
        <w:kinsoku/>
        <w:wordWrap/>
        <w:overflowPunct/>
        <w:topLinePunct w:val="0"/>
        <w:autoSpaceDE/>
        <w:autoSpaceDN/>
        <w:bidi w:val="0"/>
        <w:adjustRightInd/>
        <w:snapToGrid/>
        <w:spacing w:line="360" w:lineRule="auto"/>
        <w:jc w:val="both"/>
        <w:textAlignment w:val="auto"/>
      </w:pPr>
      <w:r>
        <w:rPr>
          <w:rFonts w:hint="eastAsia"/>
        </w:rPr>
        <w:t>跟踪复查（“回头看”）：教学质量监控与评估办公室组织校级与院级督导，对重点问题的整改情况实施定向复查与效果评估，核实整改是否到位，防止问题反弹。</w:t>
      </w:r>
    </w:p>
    <w:p w14:paraId="793D2414">
      <w:pPr>
        <w:pageBreakBefore w:val="0"/>
        <w:widowControl/>
        <w:kinsoku/>
        <w:wordWrap/>
        <w:overflowPunct/>
        <w:topLinePunct w:val="0"/>
        <w:autoSpaceDE/>
        <w:autoSpaceDN/>
        <w:bidi w:val="0"/>
        <w:adjustRightInd/>
        <w:snapToGrid/>
        <w:spacing w:line="360" w:lineRule="auto"/>
        <w:jc w:val="both"/>
        <w:textAlignment w:val="auto"/>
      </w:pPr>
      <w:r>
        <w:rPr>
          <w:rFonts w:hint="eastAsia"/>
        </w:rPr>
        <w:t>院级连带责任：院级督导组负有指导、督促本单位落实整改意见的直接责任。对整改不力、敷衍塞责的情况，院级督导组需承担连带管理责任。</w:t>
      </w:r>
    </w:p>
    <w:p w14:paraId="399E02C2">
      <w:pPr>
        <w:pageBreakBefore w:val="0"/>
        <w:widowControl/>
        <w:kinsoku/>
        <w:wordWrap/>
        <w:overflowPunct/>
        <w:topLinePunct w:val="0"/>
        <w:autoSpaceDE/>
        <w:autoSpaceDN/>
        <w:bidi w:val="0"/>
        <w:adjustRightInd/>
        <w:snapToGrid/>
        <w:spacing w:line="360" w:lineRule="auto"/>
        <w:jc w:val="both"/>
        <w:textAlignment w:val="auto"/>
        <w:rPr>
          <w:b/>
          <w:bCs/>
          <w:color w:val="auto"/>
        </w:rPr>
      </w:pPr>
      <w:r>
        <w:rPr>
          <w:rFonts w:hint="eastAsia"/>
          <w:b/>
          <w:bCs/>
          <w:color w:val="auto"/>
          <w:lang w:eastAsia="zh-CN"/>
        </w:rPr>
        <w:t>4.</w:t>
      </w:r>
      <w:r>
        <w:rPr>
          <w:rFonts w:hint="eastAsia"/>
          <w:b/>
          <w:bCs/>
          <w:color w:val="auto"/>
        </w:rPr>
        <w:t>结果应用与持续改进</w:t>
      </w:r>
    </w:p>
    <w:p w14:paraId="7DDCB11A">
      <w:pPr>
        <w:pageBreakBefore w:val="0"/>
        <w:widowControl/>
        <w:kinsoku/>
        <w:wordWrap/>
        <w:overflowPunct/>
        <w:topLinePunct w:val="0"/>
        <w:autoSpaceDE/>
        <w:autoSpaceDN/>
        <w:bidi w:val="0"/>
        <w:adjustRightInd/>
        <w:snapToGrid/>
        <w:spacing w:line="360" w:lineRule="auto"/>
        <w:jc w:val="both"/>
        <w:textAlignment w:val="auto"/>
      </w:pPr>
      <w:r>
        <w:rPr>
          <w:rFonts w:hint="eastAsia"/>
        </w:rPr>
        <w:t>激励与问责：将督导结果及整改成效正式纳入学院年度绩效考核、教师个人评价、评优评先及资源配置的参考依据，形成有效的激励与约束机制。</w:t>
      </w:r>
    </w:p>
    <w:p w14:paraId="3F410792">
      <w:pPr>
        <w:pageBreakBefore w:val="0"/>
        <w:widowControl/>
        <w:kinsoku/>
        <w:wordWrap/>
        <w:overflowPunct/>
        <w:topLinePunct w:val="0"/>
        <w:autoSpaceDE/>
        <w:autoSpaceDN/>
        <w:bidi w:val="0"/>
        <w:adjustRightInd/>
        <w:snapToGrid/>
        <w:spacing w:line="360" w:lineRule="auto"/>
        <w:jc w:val="both"/>
        <w:textAlignment w:val="auto"/>
      </w:pPr>
      <w:r>
        <w:rPr>
          <w:rFonts w:hint="eastAsia"/>
        </w:rPr>
        <w:t>优化循环：对整个闭环过程中暴露出的共性问题和制度性缺陷进行总结，反馈至学校决策层，用于优化教学管理制度和督导工作本身，开启新一轮更高级别的质量改进循环。</w:t>
      </w:r>
    </w:p>
    <w:p w14:paraId="3B95C71A">
      <w:pPr>
        <w:pStyle w:val="2"/>
        <w:pageBreakBefore w:val="0"/>
        <w:widowControl/>
        <w:kinsoku/>
        <w:wordWrap/>
        <w:overflowPunct/>
        <w:topLinePunct w:val="0"/>
        <w:autoSpaceDE/>
        <w:autoSpaceDN/>
        <w:bidi w:val="0"/>
        <w:adjustRightInd/>
        <w:snapToGrid/>
        <w:spacing w:before="0" w:after="0" w:line="360" w:lineRule="auto"/>
        <w:ind w:firstLine="640" w:firstLineChars="200"/>
        <w:jc w:val="both"/>
        <w:textAlignment w:val="auto"/>
        <w:rPr>
          <w:b w:val="0"/>
          <w:bCs/>
        </w:rPr>
      </w:pPr>
      <w:r>
        <w:rPr>
          <w:rFonts w:hint="eastAsia"/>
          <w:b w:val="0"/>
          <w:bCs/>
        </w:rPr>
        <w:t>七、附则</w:t>
      </w:r>
    </w:p>
    <w:p w14:paraId="7C0401E4">
      <w:pPr>
        <w:pageBreakBefore w:val="0"/>
        <w:widowControl/>
        <w:kinsoku/>
        <w:wordWrap/>
        <w:overflowPunct/>
        <w:topLinePunct w:val="0"/>
        <w:autoSpaceDE/>
        <w:autoSpaceDN/>
        <w:bidi w:val="0"/>
        <w:adjustRightInd/>
        <w:snapToGrid/>
        <w:spacing w:line="360" w:lineRule="auto"/>
        <w:jc w:val="both"/>
        <w:textAlignment w:val="auto"/>
      </w:pPr>
      <w:r>
        <w:t>本实施方案适用于全日制本科生和研究生督导工作，由教学质量监控与评估办公室负责解释，自发布之日起施行。</w:t>
      </w:r>
    </w:p>
    <w:p w14:paraId="40C972AD">
      <w:pPr>
        <w:spacing w:before="600"/>
      </w:pPr>
    </w:p>
    <w:p w14:paraId="5F18200E">
      <w:pPr>
        <w:ind w:right="1200" w:firstLine="0"/>
        <w:jc w:val="right"/>
      </w:pPr>
    </w:p>
    <w:sectPr>
      <w:headerReference r:id="rId5" w:type="default"/>
      <w:footerReference r:id="rId6" w:type="default"/>
      <w:pgSz w:w="11906" w:h="16838"/>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6E58E">
    <w:pPr>
      <w:jc w:val="center"/>
    </w:pPr>
    <w:r>
      <w:rPr>
        <w:color w:val="7F7F7F"/>
        <w:sz w:val="21"/>
      </w:rPr>
      <w:t xml:space="preserve">— </w:t>
    </w:r>
    <w:r>
      <w:fldChar w:fldCharType="begin"/>
    </w:r>
    <w:r>
      <w:instrText xml:space="preserve">PAGE</w:instrText>
    </w:r>
    <w:r>
      <w:fldChar w:fldCharType="separate"/>
    </w:r>
    <w:r>
      <w:rPr>
        <w:color w:val="7F7F7F"/>
        <w:sz w:val="21"/>
      </w:rPr>
      <w:t>1</w:t>
    </w:r>
    <w:r>
      <w:fldChar w:fldCharType="end"/>
    </w:r>
    <w:r>
      <w:rPr>
        <w:color w:val="7F7F7F"/>
        <w:sz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2267D">
    <w:pPr>
      <w:pBdr>
        <w:bottom w:val="none" w:color="auto" w:sz="0" w:space="0"/>
      </w:pBd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420"/>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16C"/>
    <w:rsid w:val="000E14BB"/>
    <w:rsid w:val="00166CA0"/>
    <w:rsid w:val="0019455C"/>
    <w:rsid w:val="00243A13"/>
    <w:rsid w:val="004B3D18"/>
    <w:rsid w:val="005058EC"/>
    <w:rsid w:val="00753115"/>
    <w:rsid w:val="0095716C"/>
    <w:rsid w:val="00BA7621"/>
    <w:rsid w:val="00BC54A2"/>
    <w:rsid w:val="00E85BEA"/>
    <w:rsid w:val="00FA6021"/>
    <w:rsid w:val="0302175A"/>
    <w:rsid w:val="0AFA482E"/>
    <w:rsid w:val="195C224D"/>
    <w:rsid w:val="2658183C"/>
    <w:rsid w:val="2B430715"/>
    <w:rsid w:val="2B442E19"/>
    <w:rsid w:val="3ACE3782"/>
    <w:rsid w:val="3B464398"/>
    <w:rsid w:val="3D6D4648"/>
    <w:rsid w:val="3E727BA1"/>
    <w:rsid w:val="3F5A1FA2"/>
    <w:rsid w:val="4243003B"/>
    <w:rsid w:val="508F5063"/>
    <w:rsid w:val="53381DEC"/>
    <w:rsid w:val="547B0EF6"/>
    <w:rsid w:val="59E759F9"/>
    <w:rsid w:val="65BD4250"/>
    <w:rsid w:val="6B2932D8"/>
    <w:rsid w:val="6EB833B6"/>
    <w:rsid w:val="6F805CC0"/>
    <w:rsid w:val="6FBB3A78"/>
    <w:rsid w:val="731E2BC7"/>
    <w:rsid w:val="75926A17"/>
    <w:rsid w:val="7E4A6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firstLine="640"/>
    </w:pPr>
    <w:rPr>
      <w:rFonts w:ascii="Times New Roman" w:hAnsi="Times New Roman" w:eastAsia="仿宋" w:cstheme="minorBidi"/>
      <w:color w:val="1A1A1A"/>
      <w:sz w:val="32"/>
      <w:szCs w:val="32"/>
      <w:lang w:val="en-US" w:eastAsia="zh-CN" w:bidi="ar-SA"/>
    </w:rPr>
  </w:style>
  <w:style w:type="paragraph" w:styleId="2">
    <w:name w:val="heading 1"/>
    <w:basedOn w:val="1"/>
    <w:qFormat/>
    <w:uiPriority w:val="0"/>
    <w:pPr>
      <w:keepNext/>
      <w:keepLines/>
      <w:spacing w:before="312" w:after="156"/>
      <w:ind w:firstLine="0"/>
      <w:outlineLvl w:val="0"/>
    </w:pPr>
    <w:rPr>
      <w:rFonts w:eastAsia="黑体"/>
      <w:b/>
    </w:rPr>
  </w:style>
  <w:style w:type="paragraph" w:styleId="3">
    <w:name w:val="heading 2"/>
    <w:basedOn w:val="1"/>
    <w:qFormat/>
    <w:uiPriority w:val="0"/>
    <w:pPr>
      <w:keepNext/>
      <w:keepLines/>
      <w:spacing w:before="156" w:after="78"/>
      <w:ind w:firstLine="0"/>
      <w:outlineLvl w:val="1"/>
    </w:pPr>
    <w:rPr>
      <w:rFonts w:eastAsia="楷体"/>
      <w:b/>
    </w:rPr>
  </w:style>
  <w:style w:type="paragraph" w:styleId="4">
    <w:name w:val="heading 3"/>
    <w:basedOn w:val="1"/>
    <w:qFormat/>
    <w:uiPriority w:val="0"/>
    <w:pPr>
      <w:keepNext/>
      <w:keepLines/>
      <w:spacing w:before="78"/>
      <w:outlineLvl w:val="2"/>
    </w:pPr>
    <w:rPr>
      <w:b/>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7"/>
    <w:qFormat/>
    <w:uiPriority w:val="0"/>
  </w:style>
  <w:style w:type="paragraph" w:styleId="6">
    <w:name w:val="footer"/>
    <w:basedOn w:val="1"/>
    <w:link w:val="15"/>
    <w:qFormat/>
    <w:uiPriority w:val="0"/>
    <w:pPr>
      <w:tabs>
        <w:tab w:val="center" w:pos="4153"/>
        <w:tab w:val="right" w:pos="8306"/>
      </w:tabs>
      <w:snapToGrid w:val="0"/>
      <w:spacing w:line="240" w:lineRule="atLeast"/>
    </w:pPr>
    <w:rPr>
      <w:sz w:val="18"/>
      <w:szCs w:val="18"/>
    </w:rPr>
  </w:style>
  <w:style w:type="paragraph" w:styleId="7">
    <w:name w:val="header"/>
    <w:basedOn w:val="1"/>
    <w:link w:val="14"/>
    <w:qFormat/>
    <w:uiPriority w:val="0"/>
    <w:pPr>
      <w:tabs>
        <w:tab w:val="center" w:pos="4153"/>
        <w:tab w:val="right" w:pos="8306"/>
      </w:tabs>
      <w:snapToGrid w:val="0"/>
      <w:spacing w:line="240" w:lineRule="atLeast"/>
      <w:jc w:val="center"/>
    </w:pPr>
    <w:rPr>
      <w:sz w:val="18"/>
      <w:szCs w:val="18"/>
    </w:rPr>
  </w:style>
  <w:style w:type="paragraph" w:styleId="8">
    <w:name w:val="Subtitle"/>
    <w:basedOn w:val="1"/>
    <w:qFormat/>
    <w:uiPriority w:val="0"/>
    <w:pPr>
      <w:spacing w:after="156"/>
      <w:ind w:firstLine="0"/>
      <w:jc w:val="center"/>
    </w:pPr>
    <w:rPr>
      <w:rFonts w:eastAsia="楷体"/>
    </w:rPr>
  </w:style>
  <w:style w:type="paragraph" w:styleId="9">
    <w:name w:val="Title"/>
    <w:basedOn w:val="1"/>
    <w:qFormat/>
    <w:uiPriority w:val="0"/>
    <w:pPr>
      <w:spacing w:after="312" w:line="600" w:lineRule="exact"/>
      <w:ind w:firstLine="0"/>
      <w:jc w:val="center"/>
    </w:pPr>
    <w:rPr>
      <w:rFonts w:eastAsia="方正小标宋简体"/>
      <w:b/>
      <w:sz w:val="44"/>
    </w:rPr>
  </w:style>
  <w:style w:type="paragraph" w:styleId="10">
    <w:name w:val="annotation subject"/>
    <w:basedOn w:val="5"/>
    <w:next w:val="5"/>
    <w:link w:val="18"/>
    <w:qFormat/>
    <w:uiPriority w:val="0"/>
    <w:rPr>
      <w:b/>
      <w:bCs/>
    </w:rPr>
  </w:style>
  <w:style w:type="character" w:styleId="13">
    <w:name w:val="annotation reference"/>
    <w:basedOn w:val="12"/>
    <w:qFormat/>
    <w:uiPriority w:val="0"/>
    <w:rPr>
      <w:sz w:val="21"/>
      <w:szCs w:val="21"/>
    </w:rPr>
  </w:style>
  <w:style w:type="character" w:customStyle="1" w:styleId="14">
    <w:name w:val="页眉 字符"/>
    <w:basedOn w:val="12"/>
    <w:link w:val="7"/>
    <w:qFormat/>
    <w:uiPriority w:val="0"/>
    <w:rPr>
      <w:rFonts w:ascii="Times New Roman" w:hAnsi="Times New Roman" w:eastAsia="仿宋"/>
      <w:color w:val="1A1A1A"/>
      <w:sz w:val="18"/>
      <w:szCs w:val="18"/>
    </w:rPr>
  </w:style>
  <w:style w:type="character" w:customStyle="1" w:styleId="15">
    <w:name w:val="页脚 字符"/>
    <w:basedOn w:val="12"/>
    <w:link w:val="6"/>
    <w:qFormat/>
    <w:uiPriority w:val="0"/>
    <w:rPr>
      <w:rFonts w:ascii="Times New Roman" w:hAnsi="Times New Roman" w:eastAsia="仿宋"/>
      <w:color w:val="1A1A1A"/>
      <w:sz w:val="18"/>
      <w:szCs w:val="18"/>
    </w:rPr>
  </w:style>
  <w:style w:type="paragraph" w:customStyle="1" w:styleId="16">
    <w:name w:val="修订1"/>
    <w:hidden/>
    <w:unhideWhenUsed/>
    <w:qFormat/>
    <w:uiPriority w:val="99"/>
    <w:rPr>
      <w:rFonts w:ascii="Times New Roman" w:hAnsi="Times New Roman" w:eastAsia="仿宋" w:cstheme="minorBidi"/>
      <w:color w:val="1A1A1A"/>
      <w:sz w:val="32"/>
      <w:szCs w:val="32"/>
      <w:lang w:val="en-US" w:eastAsia="zh-CN" w:bidi="ar-SA"/>
    </w:rPr>
  </w:style>
  <w:style w:type="character" w:customStyle="1" w:styleId="17">
    <w:name w:val="批注文字 字符"/>
    <w:basedOn w:val="12"/>
    <w:link w:val="5"/>
    <w:qFormat/>
    <w:uiPriority w:val="0"/>
    <w:rPr>
      <w:rFonts w:ascii="Times New Roman" w:hAnsi="Times New Roman" w:eastAsia="仿宋"/>
      <w:color w:val="1A1A1A"/>
      <w:sz w:val="32"/>
      <w:szCs w:val="32"/>
    </w:rPr>
  </w:style>
  <w:style w:type="character" w:customStyle="1" w:styleId="18">
    <w:name w:val="批注主题 字符"/>
    <w:basedOn w:val="17"/>
    <w:link w:val="10"/>
    <w:qFormat/>
    <w:uiPriority w:val="0"/>
    <w:rPr>
      <w:rFonts w:ascii="Times New Roman" w:hAnsi="Times New Roman" w:eastAsia="仿宋"/>
      <w:b/>
      <w:bCs/>
      <w:color w:val="1A1A1A"/>
      <w:sz w:val="32"/>
      <w:szCs w:val="32"/>
    </w:rPr>
  </w:style>
  <w:style w:type="paragraph" w:customStyle="1" w:styleId="19">
    <w:name w:val="Revision"/>
    <w:hidden/>
    <w:unhideWhenUsed/>
    <w:qFormat/>
    <w:uiPriority w:val="99"/>
    <w:rPr>
      <w:rFonts w:ascii="Times New Roman" w:hAnsi="Times New Roman" w:eastAsia="仿宋" w:cstheme="minorBidi"/>
      <w:color w:val="1A1A1A"/>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config/>
</contractReview>
</file>

<file path=customXml/itemProps1.xml><?xml version="1.0" encoding="utf-8"?>
<ds:datastoreItem xmlns:ds="http://schemas.openxmlformats.org/officeDocument/2006/customXml" ds:itemID="{84feb4b5-82e9-4c6e-86e9-21ac9cb20ff4}">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3874</Words>
  <Characters>3890</Characters>
  <Lines>28</Lines>
  <Paragraphs>7</Paragraphs>
  <TotalTime>15</TotalTime>
  <ScaleCrop>false</ScaleCrop>
  <LinksUpToDate>false</LinksUpToDate>
  <CharactersWithSpaces>3906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2026-03-04T13:51:00Z</dcterms:created>
  <dc:creator>xiaoy</dc:creator>
  <cp:lastModifiedBy>姜茵</cp:lastModifiedBy>
  <cp:lastPrinted>2026-03-06T05:34:00Z</cp:lastPrinted>
  <dcterms:modified xsi:type="dcterms:W3CDTF">2026-03-13T04:15:22Z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eyJoZGlkIjoiZjkxYTY3ODViMjI1NDRhNzIzNjc0MWNmNDViMGJlYzUiLCJ1c2VySWQiOiIxNDc5ODkzMzI0In0=</vt:lpwstr>
  </property>
  <property fmtid="{D5CDD505-2E9C-101B-9397-08002B2CF9AE}" pid="3" name="KSOProductBuildVer">
    <vt:lpwstr>2052-12.1.0.24034</vt:lpwstr>
  </property>
  <property fmtid="{D5CDD505-2E9C-101B-9397-08002B2CF9AE}" pid="4" name="ICV">
    <vt:lpwstr>13E2C56FA474497A908A1D089F6C8EC3_13</vt:lpwstr>
  </property>
</Properties>
</file>