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1452A">
      <w:pPr>
        <w:spacing w:line="471" w:lineRule="auto"/>
        <w:rPr>
          <w:rFonts w:ascii="Arial"/>
          <w:sz w:val="21"/>
        </w:rPr>
      </w:pPr>
    </w:p>
    <w:p w14:paraId="756F4551">
      <w:pPr>
        <w:spacing w:before="101" w:line="230" w:lineRule="auto"/>
        <w:ind w:left="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111137F8">
      <w:pPr>
        <w:spacing w:before="267" w:line="221" w:lineRule="auto"/>
        <w:ind w:left="1292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19"/>
          <w:sz w:val="44"/>
          <w:szCs w:val="44"/>
        </w:rPr>
        <w:t>高校思政课教学指导组听课评价表</w:t>
      </w:r>
      <w:bookmarkEnd w:id="0"/>
    </w:p>
    <w:p w14:paraId="59916AB5">
      <w:pPr>
        <w:spacing w:before="136"/>
      </w:pPr>
    </w:p>
    <w:tbl>
      <w:tblPr>
        <w:tblStyle w:val="4"/>
        <w:tblW w:w="6377" w:type="dxa"/>
        <w:tblInd w:w="129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7"/>
        <w:gridCol w:w="1730"/>
      </w:tblGrid>
      <w:tr w14:paraId="718BD8E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47" w:type="dxa"/>
            <w:vAlign w:val="top"/>
          </w:tcPr>
          <w:p w14:paraId="5D18E3DB">
            <w:pPr>
              <w:spacing w:before="1" w:line="225" w:lineRule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6"/>
                <w:sz w:val="22"/>
                <w:szCs w:val="22"/>
              </w:rPr>
              <w:t>任课教师：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 xml:space="preserve">            </w:t>
            </w:r>
            <w:r>
              <w:rPr>
                <w:rFonts w:ascii="楷体" w:hAnsi="楷体" w:eastAsia="楷体" w:cs="楷体"/>
                <w:spacing w:val="-6"/>
                <w:sz w:val="22"/>
                <w:szCs w:val="22"/>
              </w:rPr>
              <w:t>听课专家：</w:t>
            </w:r>
          </w:p>
        </w:tc>
        <w:tc>
          <w:tcPr>
            <w:tcW w:w="1730" w:type="dxa"/>
            <w:vAlign w:val="top"/>
          </w:tcPr>
          <w:p w14:paraId="293BDB3E">
            <w:pPr>
              <w:spacing w:line="225" w:lineRule="auto"/>
              <w:ind w:left="200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7"/>
                <w:sz w:val="22"/>
                <w:szCs w:val="22"/>
              </w:rPr>
              <w:t>听课日期：</w:t>
            </w:r>
          </w:p>
        </w:tc>
      </w:tr>
      <w:tr w14:paraId="24F3BBA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4647" w:type="dxa"/>
            <w:vAlign w:val="top"/>
          </w:tcPr>
          <w:p w14:paraId="1F506E55">
            <w:pPr>
              <w:spacing w:before="82" w:line="232" w:lineRule="auto"/>
              <w:ind w:left="12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班级规模：50</w:t>
            </w:r>
            <w:r>
              <w:rPr>
                <w:rFonts w:ascii="楷体" w:hAnsi="楷体" w:eastAsia="楷体" w:cs="楷体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人</w:t>
            </w:r>
            <w:r>
              <w:rPr>
                <w:rFonts w:ascii="楷体" w:hAnsi="楷体" w:eastAsia="楷体" w:cs="楷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以</w:t>
            </w:r>
            <w:r>
              <w:rPr>
                <w:rFonts w:ascii="楷体" w:hAnsi="楷体" w:eastAsia="楷体" w:cs="楷体"/>
                <w:spacing w:val="-63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下</w:t>
            </w:r>
            <w:r>
              <w:rPr>
                <w:rFonts w:ascii="楷体" w:hAnsi="楷体" w:eastAsia="楷体" w:cs="楷体"/>
                <w:spacing w:val="-60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□</w:t>
            </w:r>
            <w:r>
              <w:rPr>
                <w:rFonts w:ascii="楷体" w:hAnsi="楷体" w:eastAsia="楷体" w:cs="楷体"/>
                <w:spacing w:val="10"/>
                <w:sz w:val="22"/>
                <w:szCs w:val="22"/>
              </w:rPr>
              <w:t xml:space="preserve">    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51—</w:t>
            </w:r>
            <w:r>
              <w:rPr>
                <w:rFonts w:ascii="楷体" w:hAnsi="楷体" w:eastAsia="楷体" w:cs="楷体"/>
                <w:spacing w:val="-56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100</w:t>
            </w:r>
            <w:r>
              <w:rPr>
                <w:rFonts w:ascii="楷体" w:hAnsi="楷体" w:eastAsia="楷体" w:cs="楷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人</w:t>
            </w:r>
            <w:r>
              <w:rPr>
                <w:rFonts w:ascii="楷体" w:hAnsi="楷体" w:eastAsia="楷体" w:cs="楷体"/>
                <w:spacing w:val="-62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4"/>
                <w:sz w:val="22"/>
                <w:szCs w:val="22"/>
              </w:rPr>
              <w:t>□</w:t>
            </w:r>
          </w:p>
        </w:tc>
        <w:tc>
          <w:tcPr>
            <w:tcW w:w="1730" w:type="dxa"/>
            <w:vAlign w:val="top"/>
          </w:tcPr>
          <w:p w14:paraId="0B99FD53">
            <w:pPr>
              <w:spacing w:before="82" w:line="239" w:lineRule="auto"/>
              <w:jc w:val="right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2"/>
                <w:sz w:val="22"/>
                <w:szCs w:val="22"/>
              </w:rPr>
              <w:t>101—</w:t>
            </w:r>
            <w:r>
              <w:rPr>
                <w:rFonts w:ascii="楷体" w:hAnsi="楷体" w:eastAsia="楷体" w:cs="楷体"/>
                <w:spacing w:val="-60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2"/>
                <w:sz w:val="22"/>
                <w:szCs w:val="22"/>
              </w:rPr>
              <w:t>150</w:t>
            </w:r>
            <w:r>
              <w:rPr>
                <w:rFonts w:ascii="楷体" w:hAnsi="楷体" w:eastAsia="楷体" w:cs="楷体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2"/>
                <w:sz w:val="22"/>
                <w:szCs w:val="22"/>
              </w:rPr>
              <w:t>人</w:t>
            </w:r>
            <w:r>
              <w:rPr>
                <w:rFonts w:ascii="楷体" w:hAnsi="楷体" w:eastAsia="楷体" w:cs="楷体"/>
                <w:spacing w:val="-62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2"/>
                <w:sz w:val="22"/>
                <w:szCs w:val="22"/>
              </w:rPr>
              <w:t>□</w:t>
            </w:r>
          </w:p>
        </w:tc>
      </w:tr>
      <w:tr w14:paraId="44A4851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4647" w:type="dxa"/>
            <w:vAlign w:val="top"/>
          </w:tcPr>
          <w:p w14:paraId="321540EF">
            <w:pPr>
              <w:spacing w:before="82" w:line="239" w:lineRule="auto"/>
              <w:ind w:left="1050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151—</w:t>
            </w:r>
            <w:r>
              <w:rPr>
                <w:rFonts w:ascii="楷体" w:hAnsi="楷体" w:eastAsia="楷体" w:cs="楷体"/>
                <w:spacing w:val="-58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200</w:t>
            </w:r>
            <w:r>
              <w:rPr>
                <w:rFonts w:ascii="楷体" w:hAnsi="楷体" w:eastAsia="楷体" w:cs="楷体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人</w:t>
            </w:r>
            <w:r>
              <w:rPr>
                <w:rFonts w:ascii="楷体" w:hAnsi="楷体" w:eastAsia="楷体" w:cs="楷体"/>
                <w:spacing w:val="-62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□    201</w:t>
            </w:r>
            <w:r>
              <w:rPr>
                <w:rFonts w:ascii="楷体" w:hAnsi="楷体" w:eastAsia="楷体" w:cs="楷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人</w:t>
            </w:r>
            <w:r>
              <w:rPr>
                <w:rFonts w:ascii="楷体" w:hAnsi="楷体" w:eastAsia="楷体" w:cs="楷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以上</w:t>
            </w:r>
            <w:r>
              <w:rPr>
                <w:rFonts w:ascii="楷体" w:hAnsi="楷体" w:eastAsia="楷体" w:cs="楷体"/>
                <w:spacing w:val="-60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2"/>
                <w:szCs w:val="22"/>
              </w:rPr>
              <w:t>□</w:t>
            </w:r>
          </w:p>
        </w:tc>
        <w:tc>
          <w:tcPr>
            <w:tcW w:w="1730" w:type="dxa"/>
            <w:vAlign w:val="top"/>
          </w:tcPr>
          <w:p w14:paraId="7A5D5E12">
            <w:pPr>
              <w:rPr>
                <w:rFonts w:ascii="Arial"/>
                <w:sz w:val="21"/>
              </w:rPr>
            </w:pPr>
          </w:p>
        </w:tc>
      </w:tr>
      <w:tr w14:paraId="35C19F3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47" w:type="dxa"/>
            <w:vAlign w:val="top"/>
          </w:tcPr>
          <w:p w14:paraId="3ECE24D3">
            <w:pPr>
              <w:spacing w:before="83" w:line="226" w:lineRule="exact"/>
              <w:ind w:left="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7"/>
                <w:position w:val="-1"/>
                <w:sz w:val="22"/>
                <w:szCs w:val="22"/>
              </w:rPr>
              <w:t>到 课 率：90%以上</w:t>
            </w:r>
            <w:r>
              <w:rPr>
                <w:rFonts w:ascii="楷体" w:hAnsi="楷体" w:eastAsia="楷体" w:cs="楷体"/>
                <w:spacing w:val="-56"/>
                <w:position w:val="-1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7"/>
                <w:position w:val="-1"/>
                <w:sz w:val="22"/>
                <w:szCs w:val="22"/>
              </w:rPr>
              <w:t>□</w:t>
            </w:r>
            <w:r>
              <w:rPr>
                <w:rFonts w:ascii="楷体" w:hAnsi="楷体" w:eastAsia="楷体" w:cs="楷体"/>
                <w:spacing w:val="14"/>
                <w:position w:val="-1"/>
                <w:sz w:val="22"/>
                <w:szCs w:val="22"/>
              </w:rPr>
              <w:t xml:space="preserve">      </w:t>
            </w:r>
            <w:r>
              <w:rPr>
                <w:rFonts w:ascii="楷体" w:hAnsi="楷体" w:eastAsia="楷体" w:cs="楷体"/>
                <w:spacing w:val="7"/>
                <w:position w:val="-1"/>
                <w:sz w:val="22"/>
                <w:szCs w:val="22"/>
              </w:rPr>
              <w:t>80%—</w:t>
            </w:r>
            <w:r>
              <w:rPr>
                <w:rFonts w:ascii="楷体" w:hAnsi="楷体" w:eastAsia="楷体" w:cs="楷体"/>
                <w:spacing w:val="-69"/>
                <w:position w:val="-1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7"/>
                <w:position w:val="-1"/>
                <w:sz w:val="22"/>
                <w:szCs w:val="22"/>
              </w:rPr>
              <w:t>89%</w:t>
            </w:r>
            <w:r>
              <w:rPr>
                <w:rFonts w:ascii="微软雅黑" w:hAnsi="微软雅黑" w:eastAsia="微软雅黑" w:cs="微软雅黑"/>
                <w:spacing w:val="7"/>
                <w:position w:val="-1"/>
                <w:sz w:val="22"/>
                <w:szCs w:val="22"/>
              </w:rPr>
              <w:t>□</w:t>
            </w:r>
          </w:p>
        </w:tc>
        <w:tc>
          <w:tcPr>
            <w:tcW w:w="1730" w:type="dxa"/>
            <w:vAlign w:val="top"/>
          </w:tcPr>
          <w:p w14:paraId="1BADF5C3">
            <w:pPr>
              <w:spacing w:before="83" w:line="226" w:lineRule="exact"/>
              <w:ind w:left="19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16"/>
                <w:position w:val="-1"/>
                <w:sz w:val="22"/>
                <w:szCs w:val="22"/>
              </w:rPr>
              <w:t>70%—</w:t>
            </w:r>
            <w:r>
              <w:rPr>
                <w:rFonts w:ascii="楷体" w:hAnsi="楷体" w:eastAsia="楷体" w:cs="楷体"/>
                <w:spacing w:val="-68"/>
                <w:position w:val="-1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16"/>
                <w:position w:val="-1"/>
                <w:sz w:val="22"/>
                <w:szCs w:val="22"/>
              </w:rPr>
              <w:t>79%</w:t>
            </w:r>
            <w:r>
              <w:rPr>
                <w:rFonts w:ascii="微软雅黑" w:hAnsi="微软雅黑" w:eastAsia="微软雅黑" w:cs="微软雅黑"/>
                <w:spacing w:val="16"/>
                <w:position w:val="-1"/>
                <w:sz w:val="22"/>
                <w:szCs w:val="22"/>
              </w:rPr>
              <w:t>□</w:t>
            </w:r>
          </w:p>
        </w:tc>
      </w:tr>
    </w:tbl>
    <w:p w14:paraId="4A445147">
      <w:pPr>
        <w:spacing w:before="159" w:line="232" w:lineRule="auto"/>
        <w:ind w:left="2328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8"/>
          <w:sz w:val="22"/>
          <w:szCs w:val="22"/>
        </w:rPr>
        <w:t>60%—</w:t>
      </w:r>
      <w:r>
        <w:rPr>
          <w:rFonts w:ascii="楷体" w:hAnsi="楷体" w:eastAsia="楷体" w:cs="楷体"/>
          <w:spacing w:val="-72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8"/>
          <w:sz w:val="22"/>
          <w:szCs w:val="22"/>
        </w:rPr>
        <w:t>69%□</w:t>
      </w:r>
      <w:r>
        <w:rPr>
          <w:rFonts w:ascii="楷体" w:hAnsi="楷体" w:eastAsia="楷体" w:cs="楷体"/>
          <w:spacing w:val="14"/>
          <w:sz w:val="22"/>
          <w:szCs w:val="22"/>
        </w:rPr>
        <w:t xml:space="preserve">      </w:t>
      </w:r>
      <w:r>
        <w:rPr>
          <w:rFonts w:ascii="楷体" w:hAnsi="楷体" w:eastAsia="楷体" w:cs="楷体"/>
          <w:spacing w:val="8"/>
          <w:sz w:val="22"/>
          <w:szCs w:val="22"/>
        </w:rPr>
        <w:t>59%以</w:t>
      </w:r>
      <w:r>
        <w:rPr>
          <w:rFonts w:ascii="楷体" w:hAnsi="楷体" w:eastAsia="楷体" w:cs="楷体"/>
          <w:spacing w:val="-63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8"/>
          <w:sz w:val="22"/>
          <w:szCs w:val="22"/>
        </w:rPr>
        <w:t>下</w:t>
      </w:r>
      <w:r>
        <w:rPr>
          <w:rFonts w:ascii="楷体" w:hAnsi="楷体" w:eastAsia="楷体" w:cs="楷体"/>
          <w:spacing w:val="-60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8"/>
          <w:sz w:val="22"/>
          <w:szCs w:val="22"/>
        </w:rPr>
        <w:t>□</w:t>
      </w:r>
    </w:p>
    <w:p w14:paraId="4022DB56">
      <w:pPr>
        <w:spacing w:before="73" w:line="165" w:lineRule="auto"/>
        <w:ind w:left="1299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-5"/>
          <w:sz w:val="22"/>
          <w:szCs w:val="22"/>
        </w:rPr>
        <w:t>授课对象：文科□</w:t>
      </w:r>
      <w:r>
        <w:rPr>
          <w:rFonts w:ascii="楷体" w:hAnsi="楷体" w:eastAsia="楷体" w:cs="楷体"/>
          <w:spacing w:val="118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-5"/>
          <w:sz w:val="22"/>
          <w:szCs w:val="22"/>
        </w:rPr>
        <w:t>理科</w:t>
      </w:r>
      <w:r>
        <w:rPr>
          <w:rFonts w:ascii="微软雅黑" w:hAnsi="微软雅黑" w:eastAsia="微软雅黑" w:cs="微软雅黑"/>
          <w:spacing w:val="-5"/>
          <w:sz w:val="22"/>
          <w:szCs w:val="22"/>
        </w:rPr>
        <w:t xml:space="preserve">□   </w:t>
      </w:r>
      <w:r>
        <w:rPr>
          <w:rFonts w:ascii="楷体" w:hAnsi="楷体" w:eastAsia="楷体" w:cs="楷体"/>
          <w:spacing w:val="-5"/>
          <w:sz w:val="22"/>
          <w:szCs w:val="22"/>
        </w:rPr>
        <w:t>工科□</w:t>
      </w:r>
      <w:r>
        <w:rPr>
          <w:rFonts w:ascii="楷体" w:hAnsi="楷体" w:eastAsia="楷体" w:cs="楷体"/>
          <w:spacing w:val="12"/>
          <w:sz w:val="22"/>
          <w:szCs w:val="22"/>
        </w:rPr>
        <w:t xml:space="preserve">  </w:t>
      </w:r>
      <w:r>
        <w:rPr>
          <w:rFonts w:ascii="楷体" w:hAnsi="楷体" w:eastAsia="楷体" w:cs="楷体"/>
          <w:spacing w:val="-5"/>
          <w:sz w:val="22"/>
          <w:szCs w:val="22"/>
        </w:rPr>
        <w:t>农科□</w:t>
      </w:r>
      <w:r>
        <w:rPr>
          <w:rFonts w:ascii="楷体" w:hAnsi="楷体" w:eastAsia="楷体" w:cs="楷体"/>
          <w:spacing w:val="28"/>
          <w:sz w:val="22"/>
          <w:szCs w:val="22"/>
        </w:rPr>
        <w:t xml:space="preserve">  </w:t>
      </w:r>
      <w:r>
        <w:rPr>
          <w:rFonts w:ascii="楷体" w:hAnsi="楷体" w:eastAsia="楷体" w:cs="楷体"/>
          <w:spacing w:val="-5"/>
          <w:sz w:val="22"/>
          <w:szCs w:val="22"/>
        </w:rPr>
        <w:t>医科□</w:t>
      </w:r>
      <w:r>
        <w:rPr>
          <w:rFonts w:ascii="楷体" w:hAnsi="楷体" w:eastAsia="楷体" w:cs="楷体"/>
          <w:spacing w:val="18"/>
          <w:sz w:val="22"/>
          <w:szCs w:val="22"/>
        </w:rPr>
        <w:t xml:space="preserve">  </w:t>
      </w:r>
      <w:r>
        <w:rPr>
          <w:rFonts w:ascii="楷体" w:hAnsi="楷体" w:eastAsia="楷体" w:cs="楷体"/>
          <w:spacing w:val="-5"/>
          <w:sz w:val="22"/>
          <w:szCs w:val="22"/>
        </w:rPr>
        <w:t>多科混合□</w:t>
      </w:r>
    </w:p>
    <w:tbl>
      <w:tblPr>
        <w:tblStyle w:val="4"/>
        <w:tblW w:w="89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1378"/>
        <w:gridCol w:w="426"/>
        <w:gridCol w:w="1414"/>
        <w:gridCol w:w="424"/>
        <w:gridCol w:w="1414"/>
        <w:gridCol w:w="424"/>
        <w:gridCol w:w="1317"/>
        <w:gridCol w:w="658"/>
      </w:tblGrid>
      <w:tr w14:paraId="1E0BD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4" w:hRule="atLeast"/>
        </w:trPr>
        <w:tc>
          <w:tcPr>
            <w:tcW w:w="1458" w:type="dxa"/>
            <w:vAlign w:val="top"/>
          </w:tcPr>
          <w:p w14:paraId="7111D584">
            <w:pPr>
              <w:spacing w:before="96" w:line="213" w:lineRule="auto"/>
              <w:ind w:left="4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18"/>
                <w:szCs w:val="18"/>
              </w:rPr>
              <w:t>评估指标</w:t>
            </w:r>
          </w:p>
        </w:tc>
        <w:tc>
          <w:tcPr>
            <w:tcW w:w="6797" w:type="dxa"/>
            <w:gridSpan w:val="7"/>
            <w:vAlign w:val="top"/>
          </w:tcPr>
          <w:p w14:paraId="700BCDE0">
            <w:pPr>
              <w:spacing w:before="93" w:line="216" w:lineRule="auto"/>
              <w:ind w:left="32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18"/>
                <w:szCs w:val="18"/>
              </w:rPr>
              <w:t>评估内容</w:t>
            </w:r>
          </w:p>
        </w:tc>
        <w:tc>
          <w:tcPr>
            <w:tcW w:w="658" w:type="dxa"/>
            <w:vAlign w:val="top"/>
          </w:tcPr>
          <w:p w14:paraId="37728361">
            <w:pPr>
              <w:spacing w:before="96" w:line="213" w:lineRule="auto"/>
              <w:ind w:left="1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18"/>
                <w:szCs w:val="18"/>
              </w:rPr>
              <w:t>得分</w:t>
            </w:r>
          </w:p>
        </w:tc>
      </w:tr>
      <w:tr w14:paraId="16801A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 w14:paraId="200C2CBD">
            <w:pPr>
              <w:spacing w:before="281" w:line="239" w:lineRule="auto"/>
              <w:ind w:left="417" w:right="361" w:hanging="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教学态度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（10%）</w:t>
            </w:r>
          </w:p>
        </w:tc>
        <w:tc>
          <w:tcPr>
            <w:tcW w:w="6797" w:type="dxa"/>
            <w:gridSpan w:val="7"/>
            <w:vAlign w:val="top"/>
          </w:tcPr>
          <w:p w14:paraId="5E171913">
            <w:pPr>
              <w:spacing w:before="86" w:line="218" w:lineRule="auto"/>
              <w:ind w:left="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仪表整洁，举止得体、精神饱满（3%）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 w14:paraId="78A504A0">
            <w:pPr>
              <w:rPr>
                <w:rFonts w:ascii="Arial"/>
                <w:sz w:val="21"/>
              </w:rPr>
            </w:pPr>
          </w:p>
        </w:tc>
      </w:tr>
      <w:tr w14:paraId="7C92D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 w14:paraId="6DB41325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065377D7">
            <w:pPr>
              <w:spacing w:before="78" w:line="212" w:lineRule="auto"/>
              <w:ind w:left="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遵守教学纪律，严格课堂管理（2%）</w:t>
            </w:r>
          </w:p>
        </w:tc>
        <w:tc>
          <w:tcPr>
            <w:tcW w:w="658" w:type="dxa"/>
            <w:vMerge w:val="continue"/>
            <w:tcBorders>
              <w:top w:val="nil"/>
              <w:bottom w:val="nil"/>
            </w:tcBorders>
            <w:vAlign w:val="top"/>
          </w:tcPr>
          <w:p w14:paraId="1257D93E">
            <w:pPr>
              <w:rPr>
                <w:rFonts w:ascii="Arial"/>
                <w:sz w:val="21"/>
              </w:rPr>
            </w:pPr>
          </w:p>
        </w:tc>
      </w:tr>
      <w:tr w14:paraId="428ED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 w14:paraId="0FCA9210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4FF47BDD">
            <w:pPr>
              <w:spacing w:before="104" w:line="218" w:lineRule="auto"/>
              <w:ind w:left="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备课充分，精心设计教学（有课件、教案等教学素材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>），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教学投入（5%）</w:t>
            </w: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 w14:paraId="15205520">
            <w:pPr>
              <w:rPr>
                <w:rFonts w:ascii="Arial"/>
                <w:sz w:val="21"/>
              </w:rPr>
            </w:pPr>
          </w:p>
        </w:tc>
      </w:tr>
      <w:tr w14:paraId="00A23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 w14:paraId="1A5EA47F">
            <w:pPr>
              <w:spacing w:line="306" w:lineRule="auto"/>
              <w:rPr>
                <w:rFonts w:ascii="Arial"/>
                <w:sz w:val="21"/>
              </w:rPr>
            </w:pPr>
          </w:p>
          <w:p w14:paraId="5585227A">
            <w:pPr>
              <w:spacing w:line="306" w:lineRule="auto"/>
              <w:rPr>
                <w:rFonts w:ascii="Arial"/>
                <w:sz w:val="21"/>
              </w:rPr>
            </w:pPr>
          </w:p>
          <w:p w14:paraId="0EA5503E">
            <w:pPr>
              <w:spacing w:line="307" w:lineRule="auto"/>
              <w:rPr>
                <w:rFonts w:ascii="Arial"/>
                <w:sz w:val="21"/>
              </w:rPr>
            </w:pPr>
          </w:p>
          <w:p w14:paraId="4EFFC5B8">
            <w:pPr>
              <w:spacing w:before="59" w:line="239" w:lineRule="auto"/>
              <w:ind w:left="417" w:right="361" w:hanging="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教学内容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（35%）</w:t>
            </w:r>
          </w:p>
        </w:tc>
        <w:tc>
          <w:tcPr>
            <w:tcW w:w="6797" w:type="dxa"/>
            <w:gridSpan w:val="7"/>
            <w:vAlign w:val="top"/>
          </w:tcPr>
          <w:p w14:paraId="7E8A2409">
            <w:pPr>
              <w:spacing w:before="78" w:line="219" w:lineRule="auto"/>
              <w:ind w:left="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坚持马克思主义立场观点方法，具有较为扎实的马克思主义理论功底， 教学目标明确</w:t>
            </w:r>
          </w:p>
          <w:p w14:paraId="5303013A">
            <w:pPr>
              <w:spacing w:before="26" w:line="201" w:lineRule="auto"/>
              <w:ind w:left="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（10%）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 w14:paraId="15A5EB25">
            <w:pPr>
              <w:rPr>
                <w:rFonts w:ascii="Arial"/>
                <w:sz w:val="21"/>
              </w:rPr>
            </w:pPr>
          </w:p>
        </w:tc>
      </w:tr>
      <w:tr w14:paraId="529226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 w14:paraId="6267C3F3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06498FA7">
            <w:pPr>
              <w:spacing w:before="80" w:line="223" w:lineRule="auto"/>
              <w:ind w:left="7" w:right="20" w:firstLine="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有效使用统编教材配套课件、参考讲义、辅导用书，教学内容科学完整，基本理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论阐释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清楚，基本事实讲述准确，重点、难点比较突出（10%）</w:t>
            </w:r>
          </w:p>
        </w:tc>
        <w:tc>
          <w:tcPr>
            <w:tcW w:w="658" w:type="dxa"/>
            <w:vMerge w:val="continue"/>
            <w:tcBorders>
              <w:top w:val="nil"/>
              <w:bottom w:val="nil"/>
            </w:tcBorders>
            <w:vAlign w:val="top"/>
          </w:tcPr>
          <w:p w14:paraId="79961AEB">
            <w:pPr>
              <w:rPr>
                <w:rFonts w:ascii="Arial"/>
                <w:sz w:val="21"/>
              </w:rPr>
            </w:pPr>
          </w:p>
        </w:tc>
      </w:tr>
      <w:tr w14:paraId="36CDEB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 w14:paraId="7D2008AB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5437580C">
            <w:pPr>
              <w:spacing w:before="80" w:line="237" w:lineRule="auto"/>
              <w:ind w:left="7" w:firstLine="2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理论联系实际，熟悉党史、新中国史、改革开放史、社会主义发展史、中华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民族发展史，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注重史论结合，教学素材多样，案例鲜活生动，及时将新时代中国特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色社会主义的生动实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践转化为课堂教学资源（10%）</w:t>
            </w:r>
          </w:p>
        </w:tc>
        <w:tc>
          <w:tcPr>
            <w:tcW w:w="658" w:type="dxa"/>
            <w:vMerge w:val="continue"/>
            <w:tcBorders>
              <w:top w:val="nil"/>
              <w:bottom w:val="nil"/>
            </w:tcBorders>
            <w:vAlign w:val="top"/>
          </w:tcPr>
          <w:p w14:paraId="173C6B63">
            <w:pPr>
              <w:rPr>
                <w:rFonts w:ascii="Arial"/>
                <w:sz w:val="21"/>
              </w:rPr>
            </w:pPr>
          </w:p>
        </w:tc>
      </w:tr>
      <w:tr w14:paraId="6F0CB3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 w14:paraId="4348D4B1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5C369153">
            <w:pPr>
              <w:spacing w:before="70" w:line="228" w:lineRule="auto"/>
              <w:ind w:left="8" w:right="3" w:firstLine="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贴近学生实际，善于发掘身边人身边事蕴含的育人元素，有效回应学生</w:t>
            </w:r>
            <w:r>
              <w:rPr>
                <w:rFonts w:ascii="宋体" w:hAnsi="宋体" w:eastAsia="宋体" w:cs="宋体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关心问题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和思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想困惑（5%）</w:t>
            </w: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 w14:paraId="0C5E778C">
            <w:pPr>
              <w:rPr>
                <w:rFonts w:ascii="Arial"/>
                <w:sz w:val="21"/>
              </w:rPr>
            </w:pPr>
          </w:p>
        </w:tc>
      </w:tr>
      <w:tr w14:paraId="09477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 w14:paraId="0230E855">
            <w:pPr>
              <w:spacing w:line="279" w:lineRule="auto"/>
              <w:rPr>
                <w:rFonts w:ascii="Arial"/>
                <w:sz w:val="21"/>
              </w:rPr>
            </w:pPr>
          </w:p>
          <w:p w14:paraId="0A33145C">
            <w:pPr>
              <w:spacing w:line="280" w:lineRule="auto"/>
              <w:rPr>
                <w:rFonts w:ascii="Arial"/>
                <w:sz w:val="21"/>
              </w:rPr>
            </w:pPr>
          </w:p>
          <w:p w14:paraId="1680AEFC">
            <w:pPr>
              <w:spacing w:before="58" w:line="239" w:lineRule="auto"/>
              <w:ind w:left="417" w:right="361" w:hanging="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教学方法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（25%）</w:t>
            </w:r>
          </w:p>
        </w:tc>
        <w:tc>
          <w:tcPr>
            <w:tcW w:w="6797" w:type="dxa"/>
            <w:gridSpan w:val="7"/>
            <w:vAlign w:val="top"/>
          </w:tcPr>
          <w:p w14:paraId="2B64E575">
            <w:pPr>
              <w:spacing w:before="81" w:line="232" w:lineRule="auto"/>
              <w:ind w:left="8" w:right="10" w:firstLine="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熟悉教学法基本原理，注重教学逻辑与学术逻辑的辩证统一，教学设计 符合学生认知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规律、关注学生差异性（9%）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 w14:paraId="2376D277">
            <w:pPr>
              <w:rPr>
                <w:rFonts w:ascii="Arial"/>
                <w:sz w:val="21"/>
              </w:rPr>
            </w:pPr>
          </w:p>
        </w:tc>
      </w:tr>
      <w:tr w14:paraId="6B488B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 w14:paraId="0D001E88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6A3A5FAE">
            <w:pPr>
              <w:spacing w:before="84" w:line="231" w:lineRule="auto"/>
              <w:ind w:left="8" w:right="39" w:firstLine="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熟练运用启发式、案例式等教学法，注重课堂互动，不照本宣科，善于调动学生积极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性，启发学生思考（8%）</w:t>
            </w:r>
          </w:p>
        </w:tc>
        <w:tc>
          <w:tcPr>
            <w:tcW w:w="658" w:type="dxa"/>
            <w:vMerge w:val="continue"/>
            <w:tcBorders>
              <w:top w:val="nil"/>
              <w:bottom w:val="nil"/>
            </w:tcBorders>
            <w:vAlign w:val="top"/>
          </w:tcPr>
          <w:p w14:paraId="111A1FB0">
            <w:pPr>
              <w:rPr>
                <w:rFonts w:ascii="Arial"/>
                <w:sz w:val="21"/>
              </w:rPr>
            </w:pPr>
          </w:p>
        </w:tc>
      </w:tr>
      <w:tr w14:paraId="233BDB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 w14:paraId="37BAD533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43988BB2">
            <w:pPr>
              <w:spacing w:before="85" w:line="230" w:lineRule="auto"/>
              <w:ind w:left="10" w:right="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综合运用现代信息技术手段，增强课堂教学的生动性、吸引力，帮助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学</w:t>
            </w:r>
            <w:r>
              <w:rPr>
                <w:rFonts w:ascii="宋体" w:hAnsi="宋体" w:eastAsia="宋体" w:cs="宋体"/>
                <w:spacing w:val="33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生理解领会教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学内容（8%）</w:t>
            </w: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 w14:paraId="5AEC06BA">
            <w:pPr>
              <w:rPr>
                <w:rFonts w:ascii="Arial"/>
                <w:sz w:val="21"/>
              </w:rPr>
            </w:pPr>
          </w:p>
        </w:tc>
      </w:tr>
      <w:tr w14:paraId="4E47A0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 w14:paraId="3C992CA1">
            <w:pPr>
              <w:spacing w:line="462" w:lineRule="auto"/>
              <w:rPr>
                <w:rFonts w:ascii="Arial"/>
                <w:sz w:val="21"/>
              </w:rPr>
            </w:pPr>
          </w:p>
          <w:p w14:paraId="45878209">
            <w:pPr>
              <w:spacing w:before="58" w:line="239" w:lineRule="auto"/>
              <w:ind w:left="417" w:right="361" w:hanging="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教学效果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（30%）</w:t>
            </w:r>
          </w:p>
        </w:tc>
        <w:tc>
          <w:tcPr>
            <w:tcW w:w="6797" w:type="dxa"/>
            <w:gridSpan w:val="7"/>
            <w:vAlign w:val="top"/>
          </w:tcPr>
          <w:p w14:paraId="3BD350FC">
            <w:pPr>
              <w:spacing w:before="86" w:line="219" w:lineRule="auto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注重思想性和理论性，具有亲和力和感染力，能够把道理讲深、讲透、 讲</w:t>
            </w:r>
            <w:r>
              <w:rPr>
                <w:rFonts w:ascii="宋体" w:hAnsi="宋体" w:eastAsia="宋体" w:cs="宋体"/>
                <w:sz w:val="18"/>
                <w:szCs w:val="18"/>
              </w:rPr>
              <w:t>活，学生学</w:t>
            </w:r>
          </w:p>
          <w:p w14:paraId="40D6A4EA">
            <w:pPr>
              <w:spacing w:before="26" w:line="213" w:lineRule="auto"/>
              <w:ind w:left="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习积极性高，愿意与教师交流反馈（12%）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 w14:paraId="0473EC1A">
            <w:pPr>
              <w:rPr>
                <w:rFonts w:ascii="Arial"/>
                <w:sz w:val="21"/>
              </w:rPr>
            </w:pPr>
          </w:p>
        </w:tc>
      </w:tr>
      <w:tr w14:paraId="40957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 w14:paraId="6AADCC50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12F8CC68">
            <w:pPr>
              <w:spacing w:before="86" w:line="230" w:lineRule="auto"/>
              <w:ind w:left="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注重价值引领，增进对党的创新理论的政治认同、思想认同、理论认同、情感认同，坚定“四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8"/>
                <w:szCs w:val="18"/>
              </w:rPr>
              <w:t>个自信</w:t>
            </w:r>
            <w:r>
              <w:rPr>
                <w:rFonts w:ascii="宋体" w:hAnsi="宋体" w:eastAsia="宋体" w:cs="宋体"/>
                <w:spacing w:val="-6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8"/>
                <w:szCs w:val="18"/>
              </w:rPr>
              <w:t>”（12%）</w:t>
            </w:r>
          </w:p>
        </w:tc>
        <w:tc>
          <w:tcPr>
            <w:tcW w:w="658" w:type="dxa"/>
            <w:vMerge w:val="continue"/>
            <w:tcBorders>
              <w:top w:val="nil"/>
              <w:bottom w:val="nil"/>
            </w:tcBorders>
            <w:vAlign w:val="top"/>
          </w:tcPr>
          <w:p w14:paraId="2F347119">
            <w:pPr>
              <w:rPr>
                <w:rFonts w:ascii="Arial"/>
                <w:sz w:val="21"/>
              </w:rPr>
            </w:pPr>
          </w:p>
        </w:tc>
      </w:tr>
      <w:tr w14:paraId="25804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 w14:paraId="7DEB26C3">
            <w:pPr>
              <w:rPr>
                <w:rFonts w:ascii="Arial"/>
                <w:sz w:val="21"/>
              </w:rPr>
            </w:pPr>
          </w:p>
        </w:tc>
        <w:tc>
          <w:tcPr>
            <w:tcW w:w="6797" w:type="dxa"/>
            <w:gridSpan w:val="7"/>
            <w:vAlign w:val="top"/>
          </w:tcPr>
          <w:p w14:paraId="1CC49779">
            <w:pPr>
              <w:spacing w:before="139" w:line="201" w:lineRule="auto"/>
              <w:ind w:left="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完成教学计划，课堂秩序良好（6%）</w:t>
            </w: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 w14:paraId="3ACA7EED">
            <w:pPr>
              <w:rPr>
                <w:rFonts w:ascii="Arial"/>
                <w:sz w:val="21"/>
              </w:rPr>
            </w:pPr>
          </w:p>
        </w:tc>
      </w:tr>
      <w:tr w14:paraId="2EA75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458" w:type="dxa"/>
            <w:vAlign w:val="top"/>
          </w:tcPr>
          <w:p w14:paraId="356854C5">
            <w:pPr>
              <w:spacing w:before="103" w:line="219" w:lineRule="auto"/>
              <w:ind w:left="3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课堂诊断</w:t>
            </w:r>
          </w:p>
        </w:tc>
        <w:tc>
          <w:tcPr>
            <w:tcW w:w="7455" w:type="dxa"/>
            <w:gridSpan w:val="8"/>
            <w:vAlign w:val="top"/>
          </w:tcPr>
          <w:p w14:paraId="3D74DC52">
            <w:pPr>
              <w:rPr>
                <w:rFonts w:ascii="Arial"/>
                <w:sz w:val="21"/>
              </w:rPr>
            </w:pPr>
          </w:p>
        </w:tc>
      </w:tr>
      <w:tr w14:paraId="061737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458" w:type="dxa"/>
            <w:vAlign w:val="top"/>
          </w:tcPr>
          <w:p w14:paraId="25EC4E44">
            <w:pPr>
              <w:spacing w:before="103" w:line="217" w:lineRule="auto"/>
              <w:ind w:left="3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总体评价</w:t>
            </w:r>
          </w:p>
        </w:tc>
        <w:tc>
          <w:tcPr>
            <w:tcW w:w="1378" w:type="dxa"/>
            <w:vAlign w:val="top"/>
          </w:tcPr>
          <w:p w14:paraId="495572A3">
            <w:pPr>
              <w:spacing w:before="91" w:line="219" w:lineRule="auto"/>
              <w:ind w:left="1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优秀</w:t>
            </w:r>
            <w:r>
              <w:rPr>
                <w:rFonts w:ascii="宋体" w:hAnsi="宋体" w:eastAsia="宋体" w:cs="宋体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≥90）</w:t>
            </w:r>
          </w:p>
        </w:tc>
        <w:tc>
          <w:tcPr>
            <w:tcW w:w="426" w:type="dxa"/>
            <w:vAlign w:val="top"/>
          </w:tcPr>
          <w:p w14:paraId="29C72B6F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2268E5DE">
            <w:pPr>
              <w:spacing w:before="91" w:line="219" w:lineRule="auto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良好（89—80）</w:t>
            </w:r>
          </w:p>
        </w:tc>
        <w:tc>
          <w:tcPr>
            <w:tcW w:w="424" w:type="dxa"/>
            <w:vAlign w:val="top"/>
          </w:tcPr>
          <w:p w14:paraId="26D865D3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7E52A59D">
            <w:pPr>
              <w:spacing w:before="91" w:line="219" w:lineRule="auto"/>
              <w:ind w:left="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合格（79—60）</w:t>
            </w:r>
          </w:p>
        </w:tc>
        <w:tc>
          <w:tcPr>
            <w:tcW w:w="424" w:type="dxa"/>
            <w:vAlign w:val="top"/>
          </w:tcPr>
          <w:p w14:paraId="6314BA95"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 w14:paraId="1C6226DA">
            <w:pPr>
              <w:spacing w:before="88" w:line="219" w:lineRule="auto"/>
              <w:ind w:left="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不合格（&lt;60）</w:t>
            </w:r>
          </w:p>
        </w:tc>
        <w:tc>
          <w:tcPr>
            <w:tcW w:w="658" w:type="dxa"/>
            <w:vAlign w:val="top"/>
          </w:tcPr>
          <w:p w14:paraId="772A9375">
            <w:pPr>
              <w:rPr>
                <w:rFonts w:ascii="Arial"/>
                <w:sz w:val="21"/>
              </w:rPr>
            </w:pPr>
          </w:p>
        </w:tc>
      </w:tr>
      <w:tr w14:paraId="59403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58" w:type="dxa"/>
            <w:vAlign w:val="top"/>
          </w:tcPr>
          <w:p w14:paraId="576BDA99">
            <w:pPr>
              <w:spacing w:before="115" w:line="219" w:lineRule="auto"/>
              <w:ind w:left="3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指导建议</w:t>
            </w:r>
          </w:p>
        </w:tc>
        <w:tc>
          <w:tcPr>
            <w:tcW w:w="7455" w:type="dxa"/>
            <w:gridSpan w:val="8"/>
            <w:vAlign w:val="top"/>
          </w:tcPr>
          <w:p w14:paraId="50BB2D56">
            <w:pPr>
              <w:rPr>
                <w:rFonts w:ascii="Arial"/>
                <w:sz w:val="21"/>
              </w:rPr>
            </w:pPr>
          </w:p>
        </w:tc>
      </w:tr>
    </w:tbl>
    <w:p w14:paraId="19ED92C2">
      <w:pPr>
        <w:spacing w:before="114" w:line="219" w:lineRule="auto"/>
        <w:ind w:left="38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听课专家签名：</w:t>
      </w:r>
    </w:p>
    <w:p w14:paraId="276A36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NTQzYzc5NTE0OWNiMmQ4MTMyZWIxMmZkODBmMGUifQ=="/>
  </w:docVars>
  <w:rsids>
    <w:rsidRoot w:val="49963EA8"/>
    <w:rsid w:val="4996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2024-11-11T02:28:00Z</dcterms:created>
  <dc:creator>吕晓乐</dc:creator>
  <cp:lastModifiedBy>吕晓乐</cp:lastModifiedBy>
  <dcterms:modified xsi:type="dcterms:W3CDTF">2024-11-11T02:29:12Z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B648084FE0C14123B1448762341B4C63_11</vt:lpwstr>
  </property>
</Properties>
</file>