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8A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100" w:line="240" w:lineRule="auto"/>
        <w:ind w:left="0"/>
        <w:jc w:val="center"/>
        <w:textAlignment w:val="auto"/>
        <w:rPr>
          <w:rFonts w:hint="default" w:eastAsia="等线"/>
          <w:lang w:val="en-US" w:eastAsia="zh-CN"/>
        </w:rPr>
      </w:pPr>
      <w:r>
        <w:rPr>
          <w:rFonts w:hint="eastAsia" w:ascii="Arial" w:hAnsi="Arial" w:eastAsia="等线" w:cs="Arial"/>
          <w:b/>
          <w:sz w:val="52"/>
          <w:lang w:val="en-US" w:eastAsia="zh-CN"/>
        </w:rPr>
        <w:t>东北财经大学</w:t>
      </w:r>
      <w:r>
        <w:rPr>
          <w:rFonts w:ascii="Arial" w:hAnsi="Arial" w:eastAsia="等线" w:cs="Arial"/>
          <w:b/>
          <w:sz w:val="52"/>
        </w:rPr>
        <w:t>校院两级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教学</w:t>
      </w:r>
      <w:r>
        <w:rPr>
          <w:rFonts w:ascii="Arial" w:hAnsi="Arial" w:eastAsia="等线" w:cs="Arial"/>
          <w:b/>
          <w:sz w:val="52"/>
        </w:rPr>
        <w:t>质量监控问题台账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管理说明</w:t>
      </w:r>
    </w:p>
    <w:p w14:paraId="09CD7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</w:rPr>
      </w:pPr>
      <w:bookmarkStart w:id="0" w:name="heading_0"/>
    </w:p>
    <w:p w14:paraId="53BC5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我校建立校院两级联动的教学质量监控问题台账制度，构建“学院一线排查、学校统筹督办，分级登记、闭环整改”的质量改进机制。学院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等各教学单位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作为质量保障主体，依托院内督导、教研室自查、学生反馈渠道常态化排查教学质量问题，建立学院子台账，落实院内整改与初审；学校质量监控与评估部门统筹建立校级总台账，汇总各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教学单位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上报问题，开展校级督导抽查、复核销号，对重大质量问题下达督办任务。台账覆盖课堂教学、专业建设、实践教学、毕业设计等全培养环节，实现问题发现、登记、交办、整改、复核、销号全流程留痕，定期开展台账数据分析，推动校院两级质量持续改进。</w:t>
      </w:r>
    </w:p>
    <w:p w14:paraId="7013861D">
      <w:pPr>
        <w:spacing w:before="380" w:after="140" w:line="288" w:lineRule="auto"/>
        <w:ind w:left="0"/>
        <w:jc w:val="left"/>
        <w:outlineLvl w:val="0"/>
        <w:rPr>
          <w:rFonts w:hint="eastAsia" w:ascii="黑体" w:hAnsi="黑体" w:eastAsia="黑体" w:cs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一、基本情况</w:t>
      </w:r>
    </w:p>
    <w:p w14:paraId="501B0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b/>
          <w:bCs w:val="0"/>
          <w:sz w:val="28"/>
          <w:szCs w:val="28"/>
        </w:rPr>
        <w:t>使用部门：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质量监控与评估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办公室、各学院等质量监控教学单位。</w:t>
      </w:r>
    </w:p>
    <w:p w14:paraId="2FFAD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2.台账内容</w:t>
      </w:r>
      <w:r>
        <w:rPr>
          <w:rFonts w:hint="eastAsia" w:ascii="仿宋" w:hAnsi="仿宋" w:eastAsia="仿宋" w:cs="仿宋"/>
          <w:b/>
          <w:bCs w:val="0"/>
          <w:sz w:val="28"/>
          <w:szCs w:val="28"/>
        </w:rPr>
        <w:t>：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落实校院两级质量监控闭环管理，记录教学、专业、课程、师资、实践、质量保障体系等各类问题，实现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发现—登记—交办—整改—复核—销号”全过程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记录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，体现学校统筹监管、学院主体落实的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校院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两级联动机制。</w:t>
      </w:r>
    </w:p>
    <w:p w14:paraId="30FA3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b/>
          <w:bCs w:val="0"/>
          <w:sz w:val="28"/>
          <w:szCs w:val="28"/>
        </w:rPr>
        <w:t>适用对象：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本科教学、研究生教学、专业建设、课程建设、实验实训、毕业论文（设计）、督导听课、学生评教、专项评估、内审自查等质量监控场景。</w:t>
      </w:r>
    </w:p>
    <w:p w14:paraId="7FBC2FF0">
      <w:pPr>
        <w:spacing w:before="380" w:after="140" w:line="288" w:lineRule="auto"/>
        <w:ind w:left="0"/>
        <w:jc w:val="left"/>
        <w:outlineLvl w:val="0"/>
        <w:rPr>
          <w:rFonts w:hint="default" w:ascii="黑体" w:hAnsi="黑体" w:eastAsia="黑体" w:cs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二、表头</w:t>
      </w:r>
      <w:bookmarkEnd w:id="0"/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设计与示例</w:t>
      </w:r>
    </w:p>
    <w:p w14:paraId="2A4E2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下表为台账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的表头设计，以及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填报示例。</w:t>
      </w:r>
    </w:p>
    <w:p w14:paraId="3D2EA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</w:p>
    <w:tbl>
      <w:tblPr>
        <w:tblStyle w:val="2"/>
        <w:tblW w:w="50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0"/>
        <w:gridCol w:w="515"/>
        <w:gridCol w:w="493"/>
        <w:gridCol w:w="785"/>
        <w:gridCol w:w="656"/>
        <w:gridCol w:w="1124"/>
        <w:gridCol w:w="613"/>
        <w:gridCol w:w="617"/>
        <w:gridCol w:w="465"/>
        <w:gridCol w:w="519"/>
        <w:gridCol w:w="845"/>
        <w:gridCol w:w="570"/>
        <w:gridCol w:w="616"/>
        <w:gridCol w:w="951"/>
        <w:gridCol w:w="519"/>
        <w:gridCol w:w="590"/>
        <w:gridCol w:w="919"/>
        <w:gridCol w:w="603"/>
        <w:gridCol w:w="617"/>
        <w:gridCol w:w="546"/>
        <w:gridCol w:w="603"/>
        <w:gridCol w:w="663"/>
      </w:tblGrid>
      <w:tr w14:paraId="55F10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50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序号</w:t>
            </w:r>
          </w:p>
        </w:tc>
        <w:tc>
          <w:tcPr>
            <w:tcW w:w="5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00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问题编号</w:t>
            </w:r>
          </w:p>
        </w:tc>
        <w:tc>
          <w:tcPr>
            <w:tcW w:w="4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31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问题来源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80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责任层级（校级/院级）</w:t>
            </w: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40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责任学院/职能部门</w:t>
            </w:r>
          </w:p>
        </w:tc>
        <w:tc>
          <w:tcPr>
            <w:tcW w:w="11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4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问题归属</w:t>
            </w: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27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问题类别</w:t>
            </w:r>
          </w:p>
        </w:tc>
        <w:tc>
          <w:tcPr>
            <w:tcW w:w="6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CB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问题简述</w:t>
            </w:r>
          </w:p>
        </w:tc>
        <w:tc>
          <w:tcPr>
            <w:tcW w:w="4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90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风险等级</w:t>
            </w:r>
          </w:p>
        </w:tc>
        <w:tc>
          <w:tcPr>
            <w:tcW w:w="5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DC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发现时间</w:t>
            </w:r>
          </w:p>
        </w:tc>
        <w:tc>
          <w:tcPr>
            <w:tcW w:w="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6B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证据材料</w:t>
            </w:r>
          </w:p>
        </w:tc>
        <w:tc>
          <w:tcPr>
            <w:tcW w:w="5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05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校级督办人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20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学院责任人</w:t>
            </w:r>
          </w:p>
        </w:tc>
        <w:tc>
          <w:tcPr>
            <w:tcW w:w="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03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整改措施</w:t>
            </w:r>
          </w:p>
        </w:tc>
        <w:tc>
          <w:tcPr>
            <w:tcW w:w="5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5E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整改类型</w:t>
            </w:r>
          </w:p>
        </w:tc>
        <w:tc>
          <w:tcPr>
            <w:tcW w:w="5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B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整改时限</w:t>
            </w:r>
          </w:p>
        </w:tc>
        <w:tc>
          <w:tcPr>
            <w:tcW w:w="9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C0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阶段性进展</w:t>
            </w:r>
          </w:p>
        </w:tc>
        <w:tc>
          <w:tcPr>
            <w:tcW w:w="6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23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复核情况</w:t>
            </w:r>
          </w:p>
        </w:tc>
        <w:tc>
          <w:tcPr>
            <w:tcW w:w="6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50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销号状态</w:t>
            </w:r>
          </w:p>
        </w:tc>
        <w:tc>
          <w:tcPr>
            <w:tcW w:w="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25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复核人</w:t>
            </w:r>
          </w:p>
        </w:tc>
        <w:tc>
          <w:tcPr>
            <w:tcW w:w="6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44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销号日期</w:t>
            </w: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CD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备注</w:t>
            </w:r>
          </w:p>
        </w:tc>
      </w:tr>
      <w:tr w14:paraId="1933F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0EA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</w:t>
            </w:r>
          </w:p>
        </w:tc>
        <w:tc>
          <w:tcPr>
            <w:tcW w:w="51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D5A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Q-2026-001</w:t>
            </w:r>
          </w:p>
        </w:tc>
        <w:tc>
          <w:tcPr>
            <w:tcW w:w="49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8F2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校级教学督导听课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A01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院级</w:t>
            </w: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D31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XX学院</w:t>
            </w:r>
          </w:p>
        </w:tc>
        <w:tc>
          <w:tcPr>
            <w:tcW w:w="112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B12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D52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课堂教学质量</w:t>
            </w:r>
          </w:p>
        </w:tc>
        <w:tc>
          <w:tcPr>
            <w:tcW w:w="617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0C8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部分青年教师课堂互动不足，教学方法单一，课件更新不及时</w:t>
            </w:r>
          </w:p>
        </w:tc>
        <w:tc>
          <w:tcPr>
            <w:tcW w:w="46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093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一般</w:t>
            </w:r>
          </w:p>
        </w:tc>
        <w:tc>
          <w:tcPr>
            <w:tcW w:w="519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C03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2026-03-10</w:t>
            </w:r>
          </w:p>
        </w:tc>
        <w:tc>
          <w:tcPr>
            <w:tcW w:w="84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F76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督导听课记录表、课堂照片</w:t>
            </w:r>
          </w:p>
        </w:tc>
        <w:tc>
          <w:tcPr>
            <w:tcW w:w="57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3A1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质评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办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XXX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2A9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学院教学副院长XXX</w:t>
            </w:r>
          </w:p>
        </w:tc>
        <w:tc>
          <w:tcPr>
            <w:tcW w:w="95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B3F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1.学院组织青年教师教学沙龙活动；2.教研室开展课件年度审核；3.纳入教师年度教学考核；4.学院督导组跟踪听课复查</w:t>
            </w:r>
          </w:p>
        </w:tc>
        <w:tc>
          <w:tcPr>
            <w:tcW w:w="519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054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限期整改</w:t>
            </w:r>
          </w:p>
        </w:tc>
        <w:tc>
          <w:tcPr>
            <w:tcW w:w="59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FF5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2026-06-30</w:t>
            </w:r>
          </w:p>
        </w:tc>
        <w:tc>
          <w:tcPr>
            <w:tcW w:w="918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940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已完成培训，课件正在修订</w:t>
            </w:r>
          </w:p>
        </w:tc>
        <w:tc>
          <w:tcPr>
            <w:tcW w:w="60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F89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复核通过</w:t>
            </w:r>
          </w:p>
        </w:tc>
        <w:tc>
          <w:tcPr>
            <w:tcW w:w="617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B6E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已销号</w:t>
            </w:r>
          </w:p>
        </w:tc>
        <w:tc>
          <w:tcPr>
            <w:tcW w:w="546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F32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XXX</w:t>
            </w:r>
          </w:p>
        </w:tc>
        <w:tc>
          <w:tcPr>
            <w:tcW w:w="60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31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2026-07-02</w:t>
            </w: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8FC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院级自主整改，校级抽查</w:t>
            </w:r>
          </w:p>
        </w:tc>
      </w:tr>
      <w:tr w14:paraId="6828C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E10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</w:t>
            </w:r>
          </w:p>
        </w:tc>
        <w:tc>
          <w:tcPr>
            <w:tcW w:w="51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D24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Q-2026-002</w:t>
            </w:r>
          </w:p>
        </w:tc>
        <w:tc>
          <w:tcPr>
            <w:tcW w:w="49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2AD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专业评估自查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F19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校级+院级</w:t>
            </w: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E75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XX学院+教务处</w:t>
            </w:r>
          </w:p>
        </w:tc>
        <w:tc>
          <w:tcPr>
            <w:tcW w:w="112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4D7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78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专业建设</w:t>
            </w:r>
          </w:p>
        </w:tc>
        <w:tc>
          <w:tcPr>
            <w:tcW w:w="617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4D6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专业人才培养方案课程体系与产业需求匹配度不足，实践学时未达标</w:t>
            </w:r>
          </w:p>
        </w:tc>
        <w:tc>
          <w:tcPr>
            <w:tcW w:w="46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FB1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较大</w:t>
            </w:r>
          </w:p>
        </w:tc>
        <w:tc>
          <w:tcPr>
            <w:tcW w:w="519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262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2026-04-15</w:t>
            </w:r>
          </w:p>
        </w:tc>
        <w:tc>
          <w:tcPr>
            <w:tcW w:w="845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986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专业自评报告、培养方案</w:t>
            </w:r>
          </w:p>
        </w:tc>
        <w:tc>
          <w:tcPr>
            <w:tcW w:w="57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2A7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质评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办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XXX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A5F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院长XXX</w:t>
            </w:r>
          </w:p>
        </w:tc>
        <w:tc>
          <w:tcPr>
            <w:tcW w:w="95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E94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1.校级统筹组织行业专家论证；2.学院修订人才培养方案，调整课程模块；3.新增校外实习基地；4.建立专业年度动态调整机制</w:t>
            </w:r>
          </w:p>
        </w:tc>
        <w:tc>
          <w:tcPr>
            <w:tcW w:w="519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DF3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限期整改</w:t>
            </w:r>
          </w:p>
        </w:tc>
        <w:tc>
          <w:tcPr>
            <w:tcW w:w="59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5A9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2026-12-15</w:t>
            </w:r>
          </w:p>
        </w:tc>
        <w:tc>
          <w:tcPr>
            <w:tcW w:w="918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908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已完成行业调研，方案初稿编制中</w:t>
            </w:r>
          </w:p>
        </w:tc>
        <w:tc>
          <w:tcPr>
            <w:tcW w:w="60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19D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待复核</w:t>
            </w:r>
          </w:p>
        </w:tc>
        <w:tc>
          <w:tcPr>
            <w:tcW w:w="617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A1F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未销号</w:t>
            </w:r>
          </w:p>
        </w:tc>
        <w:tc>
          <w:tcPr>
            <w:tcW w:w="546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3C4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60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F14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CD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校院联合整改，校级牵头，学院落实</w:t>
            </w:r>
          </w:p>
        </w:tc>
      </w:tr>
    </w:tbl>
    <w:p w14:paraId="1E60F4C4">
      <w:pPr>
        <w:spacing w:before="380" w:after="140" w:line="288" w:lineRule="auto"/>
        <w:ind w:left="0"/>
        <w:jc w:val="left"/>
        <w:outlineLvl w:val="0"/>
        <w:rPr>
          <w:rFonts w:hint="eastAsia" w:ascii="黑体" w:hAnsi="黑体" w:eastAsia="黑体" w:cs="黑体"/>
          <w:b/>
          <w:sz w:val="30"/>
          <w:szCs w:val="30"/>
          <w:lang w:val="en-US" w:eastAsia="zh-CN"/>
        </w:rPr>
      </w:pPr>
      <w:bookmarkStart w:id="1" w:name="heading_1"/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三、填报说明</w:t>
      </w:r>
      <w:bookmarkEnd w:id="1"/>
    </w:p>
    <w:p w14:paraId="02D63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1.问题来源。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用于区分两级监控渠道。校级来源包括校级督导、校内评估、专项检查、学生校级问卷、上级评估反馈、职能部门联合检查；院级来源包括学院督导组、教研室自查、学院评教、系部检查、学院实习巡查、毕业生院内座谈等。</w:t>
      </w:r>
    </w:p>
    <w:p w14:paraId="7878D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2.责任层级。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（1）院级责任：学院日常质量监控自查发现的问题，学院为第一责任主体，校级质评部门负责监督抽查、备案。（2）校级+院级共同责任：校级检查发现或评估专家反馈的问题，学校统筹督办，学院落地整改。（3）校级责任：制度层面、跨部门协同类宏观质量机制问题，由学校职能部门牵头，学院配合执行。</w:t>
      </w:r>
    </w:p>
    <w:p w14:paraId="0F921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3.问题类别。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包括课堂教学、课程建设、专业建设、实践教学、毕业论文（设计）、师资教学能力、教学管理、教学事故、质量保障机制、教学条件、学风建设、质量监控体系运行等。</w:t>
      </w:r>
    </w:p>
    <w:p w14:paraId="69A95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4.问题归属。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可选择本科、研究生。</w:t>
      </w:r>
    </w:p>
    <w:p w14:paraId="044D6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5.整改类型。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可选择立行立改、限期整改、长期持续改进。</w:t>
      </w:r>
    </w:p>
    <w:p w14:paraId="08559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6.风险等级。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（1）重大：影响专业认证、教学评估底线指标，存在一票否决风险；（2）较大：体系性短板，持续影响人才培养质量，需校院协同整改；（3）一般：单点、局部问题，学院可自主限期整改；（4）轻微：即时可纠正，立行立改。</w:t>
      </w:r>
    </w:p>
    <w:p w14:paraId="5B030CE7">
      <w:pPr>
        <w:spacing w:before="380" w:after="140" w:line="288" w:lineRule="auto"/>
        <w:ind w:left="0"/>
        <w:jc w:val="left"/>
        <w:outlineLvl w:val="0"/>
        <w:rPr>
          <w:rFonts w:hint="eastAsia" w:eastAsia="等线"/>
          <w:lang w:val="en-US" w:eastAsia="zh-CN"/>
        </w:rPr>
      </w:pPr>
      <w:bookmarkStart w:id="2" w:name="heading_2"/>
      <w:r>
        <w:rPr>
          <w:rFonts w:hint="eastAsia" w:ascii="Arial" w:hAnsi="Arial" w:eastAsia="等线" w:cs="Arial"/>
          <w:b/>
          <w:sz w:val="36"/>
          <w:lang w:val="en-US" w:eastAsia="zh-CN"/>
        </w:rPr>
        <w:t>四</w:t>
      </w:r>
      <w:r>
        <w:rPr>
          <w:rFonts w:ascii="Arial" w:hAnsi="Arial" w:eastAsia="等线" w:cs="Arial"/>
          <w:b/>
          <w:sz w:val="36"/>
        </w:rPr>
        <w:t>、校院两级闭环管理运行</w:t>
      </w:r>
      <w:bookmarkEnd w:id="2"/>
      <w:r>
        <w:rPr>
          <w:rFonts w:hint="eastAsia" w:ascii="Arial" w:hAnsi="Arial" w:eastAsia="等线" w:cs="Arial"/>
          <w:b/>
          <w:sz w:val="36"/>
          <w:lang w:val="en-US" w:eastAsia="zh-CN"/>
        </w:rPr>
        <w:t>机制</w:t>
      </w:r>
    </w:p>
    <w:p w14:paraId="0E5F4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1.学院层面的一线监控。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日常开展院内督导、教研室自查，发现问题登记院内台账，每月汇总上报质评处；组织整改并开展院内初步复核，完成后申请校级复核销号。</w:t>
      </w:r>
    </w:p>
    <w:p w14:paraId="0D4A5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2.学校质评部门的统筹监控。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汇总各教学单位台账，开展校级抽查与专项督导；对重大、较大问题下达督办单；对学院提交的整改材料开展校级复核，决定是否销号；定期汇总台账形成质量分析报告，反馈校级质量监控领导小组和教学委员会。</w:t>
      </w:r>
    </w:p>
    <w:p w14:paraId="6C894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3.联动机制。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（1）台账实行分级登记、分级整改、分级复核。学院建立本院质量问题子台账，学校质评处建立校级总台账，实现上下联动、信息同步。（2）建立月度台账报送、季度质量研判会、年度质量报告三级联动机制，台账作为校院两级质量考核、学院教学工作考核的核心依据。（3）问题一经发现，3个工作日内完成登记，明确责任人和整改时限；院级自查问题由学院登记，校级检查发现问题由质评办登记并同步推送对应学院。（4）实行销号管理。整改完成后，学院先行院内自查，提交整改佐证材料，向质评处申请复核；复核合格方可销号；整改不到位的，退回继续整改并预警。（5）台账动态更新，每月末质评办汇总台账情况，形成问题分析简报，提交学校教学质量监控领导小组，作为校院两级质量持续改进的依据。（6）台账资料（问题记录、整改材料、复核记录）归档留存，作为本科教育教学评估、专业认证、教学考核支撑材料。</w:t>
      </w:r>
    </w:p>
    <w:sectPr>
      <w:headerReference r:id="rId3" w:type="default"/>
      <w:footerReference r:id="rId4" w:type="default"/>
      <w:pgSz w:w="16840" w:h="11905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9FB9362-E649-4CA5-AE50-029380DB063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426F152-E4B9-43E0-8CEC-EA7519BB34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DB209AA7-788B-401E-B466-47FDC8F9DCD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1C7B9D8F-6F56-43FC-BC32-A7AA9695561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E90AC05-EF58-40BF-8206-1A69DE558C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2D7F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A18A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2289D"/>
    <w:rsid w:val="291B0167"/>
    <w:rsid w:val="2DA2793B"/>
    <w:rsid w:val="357A2C41"/>
    <w:rsid w:val="36C9728D"/>
    <w:rsid w:val="4625639F"/>
    <w:rsid w:val="4D9C7A67"/>
    <w:rsid w:val="66672A00"/>
    <w:rsid w:val="6D7332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2026</Words>
  <Characters>2121</Characters>
  <TotalTime>79</TotalTime>
  <ScaleCrop>false</ScaleCrop>
  <LinksUpToDate>false</LinksUpToDate>
  <CharactersWithSpaces>2121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2026-09-26T09:16:00Z</dcterms:created>
  <dc:creator>Apache POI</dc:creator>
  <cp:lastModifiedBy>姜茵</cp:lastModifiedBy>
  <dcterms:modified xsi:type="dcterms:W3CDTF">2026-09-28T07:41:01Z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{"Label":"1","ContentProducer":"001191110102MACQD9K64010000","ProduceID":"7689770185201683756","ReservedCode1":"","ContentPropagator":"","PropagateID":"","ReservedCode2":""}</vt:lpwstr>
  </property>
  <property fmtid="{D5CDD505-2E9C-101B-9397-08002B2CF9AE}" pid="3" name="KSOProductBuildVer">
    <vt:lpwstr>2052-12.1.0.24034</vt:lpwstr>
  </property>
  <property fmtid="{D5CDD505-2E9C-101B-9397-08002B2CF9AE}" pid="4" name="ICV">
    <vt:lpwstr>864640F32C464379A5DC75DA960A9034_13</vt:lpwstr>
  </property>
  <property fmtid="{D5CDD505-2E9C-101B-9397-08002B2CF9AE}" pid="5" name="KSOTemplateDocerSaveRecord">
    <vt:lpwstr>eyJoZGlkIjoiZjkxYTY3ODViMjI1NDRhNzIzNjc0MWNmNDViMGJlYzUiLCJ1c2VySWQiOiIxNjA4NjE3MTYyIn0=</vt:lpwstr>
  </property>
</Properties>
</file>